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7ACA0" w14:textId="2146F59E" w:rsidR="000B4207" w:rsidRPr="000B4207" w:rsidRDefault="00F22CED"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w:t>
      </w:r>
      <w:r w:rsidR="00CA3A0A">
        <w:rPr>
          <w:rFonts w:ascii="Arial" w:hAnsi="Arial" w:cs="Arial"/>
          <w:b/>
          <w:bCs/>
          <w:sz w:val="24"/>
          <w:szCs w:val="24"/>
        </w:rPr>
        <w:t xml:space="preserve"> Meeting </w:t>
      </w:r>
      <w:r>
        <w:rPr>
          <w:rFonts w:ascii="Arial" w:hAnsi="Arial" w:cs="Arial"/>
          <w:b/>
          <w:bCs/>
          <w:sz w:val="24"/>
          <w:szCs w:val="24"/>
        </w:rPr>
        <w:t>#92</w:t>
      </w:r>
      <w:r w:rsidR="0035544D">
        <w:rPr>
          <w:rFonts w:ascii="Arial" w:hAnsi="Arial" w:cs="Arial"/>
          <w:b/>
          <w:bCs/>
          <w:sz w:val="24"/>
          <w:szCs w:val="24"/>
        </w:rPr>
        <w:t>bis</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141204DA">
        <w:rPr>
          <w:rFonts w:ascii="Arial" w:hAnsi="Arial" w:cs="Arial"/>
          <w:b/>
          <w:bCs/>
          <w:sz w:val="24"/>
          <w:szCs w:val="24"/>
        </w:rPr>
        <w:t>R1-</w:t>
      </w:r>
      <w:r w:rsidR="000B4207" w:rsidRPr="00C47290">
        <w:rPr>
          <w:rFonts w:ascii="Arial" w:hAnsi="Arial" w:cs="Arial"/>
          <w:b/>
          <w:bCs/>
          <w:sz w:val="24"/>
          <w:szCs w:val="24"/>
        </w:rPr>
        <w:t>1</w:t>
      </w:r>
      <w:r w:rsidR="0002789E" w:rsidRPr="00C47290">
        <w:rPr>
          <w:rFonts w:ascii="Arial" w:eastAsia="MS Mincho" w:hAnsi="Arial" w:cs="Arial"/>
          <w:b/>
          <w:bCs/>
          <w:sz w:val="24"/>
          <w:szCs w:val="24"/>
          <w:lang w:eastAsia="ja-JP"/>
        </w:rPr>
        <w:t>8</w:t>
      </w:r>
      <w:r w:rsidR="006C4BA8">
        <w:rPr>
          <w:rFonts w:ascii="Arial" w:eastAsia="MS Mincho" w:hAnsi="Arial" w:cs="Arial"/>
          <w:b/>
          <w:bCs/>
          <w:sz w:val="24"/>
          <w:szCs w:val="24"/>
          <w:lang w:eastAsia="ja-JP"/>
        </w:rPr>
        <w:t>04614</w:t>
      </w:r>
    </w:p>
    <w:p w14:paraId="3D4EE5DD" w14:textId="64D37B4E" w:rsidR="000B4207" w:rsidRPr="008327A9" w:rsidRDefault="0035544D" w:rsidP="008327A9">
      <w:pPr>
        <w:pStyle w:val="Header"/>
        <w:rPr>
          <w:rFonts w:eastAsia="MS Mincho" w:cs="Arial"/>
          <w:bCs/>
          <w:noProof w:val="0"/>
          <w:sz w:val="24"/>
          <w:lang w:val="en-GB" w:eastAsia="ja-JP"/>
        </w:rPr>
      </w:pPr>
      <w:r>
        <w:rPr>
          <w:rFonts w:eastAsia="MS Mincho" w:cs="Arial"/>
          <w:bCs/>
          <w:noProof w:val="0"/>
          <w:sz w:val="24"/>
          <w:lang w:val="en-GB" w:eastAsia="ja-JP"/>
        </w:rPr>
        <w:t>Sanya</w:t>
      </w:r>
      <w:r w:rsidRPr="005601AC">
        <w:rPr>
          <w:rFonts w:eastAsia="MS Mincho" w:cs="Arial"/>
          <w:bCs/>
          <w:noProof w:val="0"/>
          <w:sz w:val="24"/>
          <w:lang w:val="en-GB" w:eastAsia="ja-JP"/>
        </w:rPr>
        <w:t>,</w:t>
      </w:r>
      <w:r>
        <w:rPr>
          <w:rFonts w:eastAsia="MS Mincho" w:cs="Arial"/>
          <w:bCs/>
          <w:noProof w:val="0"/>
          <w:sz w:val="24"/>
          <w:lang w:val="en-GB" w:eastAsia="ja-JP"/>
        </w:rPr>
        <w:t xml:space="preserve"> China</w:t>
      </w:r>
      <w:r w:rsidRPr="005601AC">
        <w:rPr>
          <w:rFonts w:eastAsia="MS Mincho" w:cs="Arial"/>
          <w:bCs/>
          <w:noProof w:val="0"/>
          <w:sz w:val="24"/>
          <w:lang w:val="en-GB" w:eastAsia="ja-JP"/>
        </w:rPr>
        <w:t xml:space="preserve">, </w:t>
      </w:r>
      <w:r>
        <w:rPr>
          <w:rFonts w:eastAsia="MS Mincho" w:cs="Arial"/>
          <w:bCs/>
          <w:noProof w:val="0"/>
          <w:sz w:val="24"/>
          <w:lang w:val="en-GB" w:eastAsia="ja-JP"/>
        </w:rPr>
        <w:t>April</w:t>
      </w:r>
      <w:r w:rsidRPr="005601AC">
        <w:rPr>
          <w:rFonts w:eastAsia="MS Mincho" w:cs="Arial"/>
          <w:bCs/>
          <w:noProof w:val="0"/>
          <w:sz w:val="24"/>
          <w:lang w:val="en-GB" w:eastAsia="ja-JP"/>
        </w:rPr>
        <w:t xml:space="preserve"> </w:t>
      </w:r>
      <w:r>
        <w:rPr>
          <w:rFonts w:eastAsia="MS Mincho" w:cs="Arial"/>
          <w:bCs/>
          <w:noProof w:val="0"/>
          <w:sz w:val="24"/>
          <w:lang w:val="en-GB" w:eastAsia="ja-JP"/>
        </w:rPr>
        <w:t>16</w:t>
      </w:r>
      <w:r w:rsidRPr="0035544D">
        <w:rPr>
          <w:rFonts w:eastAsia="MS Mincho" w:cs="Arial"/>
          <w:bCs/>
          <w:noProof w:val="0"/>
          <w:sz w:val="24"/>
          <w:vertAlign w:val="superscript"/>
          <w:lang w:val="en-GB" w:eastAsia="ja-JP"/>
        </w:rPr>
        <w:t>th</w:t>
      </w:r>
      <w:r w:rsidRPr="005601AC">
        <w:rPr>
          <w:rFonts w:eastAsia="MS Mincho" w:cs="Arial"/>
          <w:bCs/>
          <w:noProof w:val="0"/>
          <w:sz w:val="24"/>
          <w:lang w:val="en-GB" w:eastAsia="ja-JP"/>
        </w:rPr>
        <w:t xml:space="preserve"> – </w:t>
      </w:r>
      <w:r>
        <w:rPr>
          <w:rFonts w:eastAsia="MS Mincho" w:cs="Arial"/>
          <w:bCs/>
          <w:noProof w:val="0"/>
          <w:sz w:val="24"/>
          <w:lang w:val="en-GB" w:eastAsia="ja-JP"/>
        </w:rPr>
        <w:t>April 20</w:t>
      </w:r>
      <w:r w:rsidRPr="0035544D">
        <w:rPr>
          <w:rFonts w:eastAsia="MS Mincho" w:cs="Arial"/>
          <w:bCs/>
          <w:noProof w:val="0"/>
          <w:sz w:val="24"/>
          <w:vertAlign w:val="superscript"/>
          <w:lang w:val="en-GB" w:eastAsia="ja-JP"/>
        </w:rPr>
        <w:t>th</w:t>
      </w:r>
      <w:r>
        <w:rPr>
          <w:rFonts w:eastAsia="MS Mincho" w:cs="Arial"/>
          <w:bCs/>
          <w:noProof w:val="0"/>
          <w:sz w:val="24"/>
          <w:lang w:val="en-GB" w:eastAsia="ja-JP"/>
        </w:rPr>
        <w:t>, 2018</w:t>
      </w:r>
    </w:p>
    <w:p w14:paraId="30E02940" w14:textId="77777777" w:rsidR="00CA26CE" w:rsidRPr="0016316A" w:rsidRDefault="00CA26CE" w:rsidP="00CA26CE">
      <w:pPr>
        <w:pStyle w:val="Header"/>
        <w:rPr>
          <w:bCs/>
          <w:noProof w:val="0"/>
          <w:sz w:val="24"/>
          <w:lang w:val="en-GB" w:eastAsia="ja-JP"/>
        </w:rPr>
      </w:pPr>
    </w:p>
    <w:p w14:paraId="30E02941" w14:textId="2FBD2EFA"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F22CED">
        <w:rPr>
          <w:rFonts w:cs="Arial"/>
          <w:b/>
          <w:bCs/>
          <w:sz w:val="24"/>
          <w:szCs w:val="24"/>
        </w:rPr>
        <w:t>1.</w:t>
      </w:r>
      <w:r w:rsidR="0052773A" w:rsidRPr="3E61DC49">
        <w:rPr>
          <w:rFonts w:cs="Arial"/>
          <w:b/>
          <w:bCs/>
          <w:sz w:val="24"/>
          <w:szCs w:val="24"/>
        </w:rPr>
        <w:t>3.</w:t>
      </w:r>
      <w:r w:rsidR="00AA12D0">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7819FF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A12D0">
        <w:rPr>
          <w:rFonts w:ascii="Arial" w:hAnsi="Arial" w:cs="Arial"/>
          <w:b/>
          <w:bCs/>
          <w:sz w:val="24"/>
        </w:rPr>
        <w:t>On the alignment of DCI format sizes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1BAB217E" w14:textId="757CDB60" w:rsidR="0023652F" w:rsidRDefault="00787909" w:rsidP="0023652F">
      <w:r>
        <w:rPr>
          <w:rFonts w:eastAsia="Times New Roman"/>
        </w:rPr>
        <w:t>For Rel-</w:t>
      </w:r>
      <w:r w:rsidR="00DE5685">
        <w:rPr>
          <w:rFonts w:eastAsia="Times New Roman"/>
        </w:rPr>
        <w:t>15 NR</w:t>
      </w:r>
      <w:r>
        <w:rPr>
          <w:rFonts w:eastAsia="Times New Roman"/>
        </w:rPr>
        <w:t>,</w:t>
      </w:r>
      <w:r w:rsidR="008B2B4D">
        <w:rPr>
          <w:rFonts w:eastAsia="Times New Roman"/>
        </w:rPr>
        <w:t xml:space="preserve"> w</w:t>
      </w:r>
      <w:r w:rsidR="0023652F">
        <w:t>e have agreed on the following regarding the DCI format sizes:</w:t>
      </w:r>
    </w:p>
    <w:p w14:paraId="0F308E5B" w14:textId="77777777" w:rsidR="0023652F" w:rsidRPr="00021C4A" w:rsidRDefault="0023652F" w:rsidP="0023652F">
      <w:pPr>
        <w:spacing w:after="0"/>
        <w:ind w:left="568"/>
        <w:rPr>
          <w:b/>
          <w:sz w:val="18"/>
          <w:lang w:eastAsia="x-none"/>
        </w:rPr>
      </w:pPr>
      <w:r w:rsidRPr="00021C4A">
        <w:rPr>
          <w:sz w:val="18"/>
          <w:highlight w:val="green"/>
          <w:lang w:eastAsia="x-none"/>
        </w:rPr>
        <w:t>Agreements</w:t>
      </w:r>
      <w:r w:rsidRPr="00364FFF">
        <w:rPr>
          <w:sz w:val="18"/>
          <w:lang w:eastAsia="x-none"/>
        </w:rPr>
        <w:t>:</w:t>
      </w:r>
      <w:r>
        <w:rPr>
          <w:sz w:val="18"/>
          <w:lang w:eastAsia="x-none"/>
        </w:rPr>
        <w:t xml:space="preserve"> (RAN1 ad hoc in Jan 2018</w:t>
      </w:r>
      <w:r w:rsidRPr="00364FFF">
        <w:rPr>
          <w:sz w:val="18"/>
          <w:lang w:eastAsia="x-none"/>
        </w:rPr>
        <w:t>)</w:t>
      </w:r>
    </w:p>
    <w:p w14:paraId="54D1F9A5" w14:textId="77777777" w:rsidR="0023652F" w:rsidRPr="00021C4A" w:rsidRDefault="0023652F" w:rsidP="0023652F">
      <w:pPr>
        <w:pStyle w:val="BodyText"/>
        <w:spacing w:after="0"/>
        <w:ind w:left="568"/>
        <w:rPr>
          <w:sz w:val="18"/>
        </w:rPr>
      </w:pPr>
      <w:r w:rsidRPr="00021C4A">
        <w:rPr>
          <w:sz w:val="18"/>
        </w:rPr>
        <w:t>For one carrier:</w:t>
      </w:r>
    </w:p>
    <w:p w14:paraId="16631ED0" w14:textId="77777777" w:rsidR="0023652F" w:rsidRPr="00021C4A" w:rsidRDefault="0023652F" w:rsidP="0023652F">
      <w:pPr>
        <w:pStyle w:val="BodyText"/>
        <w:numPr>
          <w:ilvl w:val="0"/>
          <w:numId w:val="17"/>
        </w:numPr>
        <w:overflowPunct/>
        <w:autoSpaceDE/>
        <w:autoSpaceDN/>
        <w:adjustRightInd/>
        <w:spacing w:after="0"/>
        <w:ind w:left="1288"/>
        <w:jc w:val="both"/>
        <w:textAlignment w:val="auto"/>
        <w:rPr>
          <w:sz w:val="18"/>
        </w:rPr>
      </w:pPr>
      <w:r w:rsidRPr="00021C4A">
        <w:rPr>
          <w:sz w:val="18"/>
        </w:rPr>
        <w:t>(</w:t>
      </w:r>
      <w:r w:rsidRPr="00021C4A">
        <w:rPr>
          <w:sz w:val="18"/>
          <w:highlight w:val="darkYellow"/>
        </w:rPr>
        <w:t>working assumption</w:t>
      </w:r>
      <w:r w:rsidRPr="00021C4A">
        <w:rPr>
          <w:sz w:val="18"/>
        </w:rPr>
        <w:t xml:space="preserve">) </w:t>
      </w:r>
      <w:bookmarkStart w:id="0" w:name="_Hlk506325404"/>
      <w:r w:rsidRPr="00021C4A">
        <w:rPr>
          <w:sz w:val="18"/>
        </w:rPr>
        <w:t>Payload sizes for 2-2 and 2-3 are padded (if needed) to match the size of formats 0-0/1-0 as defined by the initial BWP</w:t>
      </w:r>
      <w:bookmarkEnd w:id="0"/>
    </w:p>
    <w:p w14:paraId="73A1CC4E" w14:textId="77777777" w:rsidR="0023652F" w:rsidRPr="00021C4A" w:rsidRDefault="0023652F" w:rsidP="0023652F">
      <w:pPr>
        <w:pStyle w:val="BodyText"/>
        <w:numPr>
          <w:ilvl w:val="0"/>
          <w:numId w:val="17"/>
        </w:numPr>
        <w:overflowPunct/>
        <w:autoSpaceDE/>
        <w:autoSpaceDN/>
        <w:adjustRightInd/>
        <w:spacing w:after="0"/>
        <w:ind w:left="1288"/>
        <w:jc w:val="both"/>
        <w:textAlignment w:val="auto"/>
        <w:rPr>
          <w:sz w:val="18"/>
        </w:rPr>
      </w:pPr>
      <w:r w:rsidRPr="00021C4A">
        <w:rPr>
          <w:sz w:val="18"/>
        </w:rPr>
        <w:t>(</w:t>
      </w:r>
      <w:r w:rsidRPr="00021C4A">
        <w:rPr>
          <w:sz w:val="18"/>
          <w:highlight w:val="darkYellow"/>
        </w:rPr>
        <w:t>working assumption</w:t>
      </w:r>
      <w:r w:rsidRPr="00021C4A">
        <w:rPr>
          <w:sz w:val="18"/>
        </w:rPr>
        <w:t>) At most 4 different DCI sizes are monitored by the UE per slot</w:t>
      </w:r>
    </w:p>
    <w:p w14:paraId="2127B5C3" w14:textId="77777777" w:rsidR="0023652F" w:rsidRPr="00021C4A" w:rsidRDefault="0023652F" w:rsidP="0023652F">
      <w:pPr>
        <w:pStyle w:val="BodyText"/>
        <w:numPr>
          <w:ilvl w:val="1"/>
          <w:numId w:val="17"/>
        </w:numPr>
        <w:overflowPunct/>
        <w:autoSpaceDE/>
        <w:autoSpaceDN/>
        <w:adjustRightInd/>
        <w:spacing w:after="0"/>
        <w:ind w:left="2008"/>
        <w:jc w:val="both"/>
        <w:textAlignment w:val="auto"/>
        <w:rPr>
          <w:sz w:val="18"/>
        </w:rPr>
      </w:pPr>
      <w:r w:rsidRPr="00021C4A">
        <w:rPr>
          <w:sz w:val="18"/>
        </w:rPr>
        <w:t>At most 3 different DCI sizes are monitored per C-RNTI per slot</w:t>
      </w:r>
    </w:p>
    <w:p w14:paraId="0B74C333" w14:textId="77777777" w:rsidR="0023652F" w:rsidRPr="00021C4A" w:rsidRDefault="0023652F" w:rsidP="0023652F">
      <w:pPr>
        <w:pStyle w:val="BodyText"/>
        <w:numPr>
          <w:ilvl w:val="0"/>
          <w:numId w:val="17"/>
        </w:numPr>
        <w:overflowPunct/>
        <w:autoSpaceDE/>
        <w:autoSpaceDN/>
        <w:adjustRightInd/>
        <w:spacing w:after="0"/>
        <w:ind w:left="1288"/>
        <w:jc w:val="both"/>
        <w:textAlignment w:val="auto"/>
        <w:rPr>
          <w:sz w:val="18"/>
        </w:rPr>
      </w:pPr>
      <w:r w:rsidRPr="00021C4A">
        <w:rPr>
          <w:sz w:val="18"/>
        </w:rPr>
        <w:t>Payload size for formats 0-1 and 1-1 may differ</w:t>
      </w:r>
    </w:p>
    <w:p w14:paraId="19712856" w14:textId="77777777" w:rsidR="0023652F" w:rsidRDefault="0023652F" w:rsidP="0023652F"/>
    <w:p w14:paraId="2525368C" w14:textId="77777777" w:rsidR="0023652F" w:rsidRPr="00787909" w:rsidRDefault="0023652F" w:rsidP="0023652F">
      <w:pPr>
        <w:overflowPunct/>
        <w:autoSpaceDE/>
        <w:autoSpaceDN/>
        <w:adjustRightInd/>
        <w:spacing w:after="0"/>
        <w:ind w:left="568"/>
        <w:jc w:val="both"/>
        <w:textAlignment w:val="auto"/>
        <w:rPr>
          <w:rFonts w:ascii="Times" w:eastAsia="Batang" w:hAnsi="Times"/>
          <w:sz w:val="18"/>
          <w:lang w:eastAsia="x-none"/>
        </w:rPr>
      </w:pPr>
      <w:r w:rsidRPr="00787909">
        <w:rPr>
          <w:rFonts w:ascii="Times" w:eastAsia="Batang" w:hAnsi="Times"/>
          <w:sz w:val="18"/>
          <w:highlight w:val="green"/>
          <w:lang w:eastAsia="x-none"/>
        </w:rPr>
        <w:t>Agreements</w:t>
      </w:r>
      <w:r w:rsidRPr="00787909">
        <w:rPr>
          <w:rFonts w:ascii="Times" w:eastAsia="Batang" w:hAnsi="Times"/>
          <w:sz w:val="18"/>
          <w:lang w:eastAsia="x-none"/>
        </w:rPr>
        <w:t>:</w:t>
      </w:r>
      <w:r w:rsidRPr="00364FFF">
        <w:rPr>
          <w:sz w:val="18"/>
          <w:lang w:eastAsia="x-none"/>
        </w:rPr>
        <w:t xml:space="preserve"> (RAN1#92)</w:t>
      </w:r>
    </w:p>
    <w:p w14:paraId="1FAA6164" w14:textId="77777777" w:rsidR="0023652F" w:rsidRPr="00787909" w:rsidRDefault="0023652F" w:rsidP="0023652F">
      <w:pPr>
        <w:numPr>
          <w:ilvl w:val="0"/>
          <w:numId w:val="21"/>
        </w:numPr>
        <w:overflowPunct/>
        <w:autoSpaceDE/>
        <w:autoSpaceDN/>
        <w:adjustRightInd/>
        <w:spacing w:after="0"/>
        <w:ind w:left="1288"/>
        <w:jc w:val="both"/>
        <w:textAlignment w:val="auto"/>
        <w:rPr>
          <w:rFonts w:ascii="Times" w:eastAsia="Batang" w:hAnsi="Times"/>
          <w:sz w:val="18"/>
          <w:lang w:eastAsia="x-none"/>
        </w:rPr>
      </w:pPr>
      <w:r w:rsidRPr="00787909">
        <w:rPr>
          <w:rFonts w:ascii="Times" w:eastAsia="Batang" w:hAnsi="Times"/>
          <w:sz w:val="18"/>
          <w:lang w:eastAsia="x-none"/>
        </w:rPr>
        <w:t xml:space="preserve">DCI formats 0-0/1-0, 0-1, and 1-1 can have different sizes. </w:t>
      </w:r>
    </w:p>
    <w:p w14:paraId="66670C92" w14:textId="77777777" w:rsidR="0023652F" w:rsidRPr="00787909" w:rsidRDefault="0023652F" w:rsidP="0023652F">
      <w:pPr>
        <w:numPr>
          <w:ilvl w:val="0"/>
          <w:numId w:val="21"/>
        </w:numPr>
        <w:overflowPunct/>
        <w:autoSpaceDE/>
        <w:autoSpaceDN/>
        <w:adjustRightInd/>
        <w:spacing w:after="0"/>
        <w:ind w:left="1288"/>
        <w:jc w:val="both"/>
        <w:textAlignment w:val="auto"/>
        <w:rPr>
          <w:rFonts w:ascii="Times" w:eastAsia="Batang" w:hAnsi="Times"/>
          <w:sz w:val="18"/>
          <w:lang w:eastAsia="x-none"/>
        </w:rPr>
      </w:pPr>
      <w:r w:rsidRPr="00787909">
        <w:rPr>
          <w:rFonts w:ascii="Times" w:eastAsia="Batang" w:hAnsi="Times"/>
          <w:sz w:val="18"/>
          <w:lang w:eastAsia="x-none"/>
        </w:rPr>
        <w:t>DCI formats 0-1 and 1-1 can be received in USS only. The size is determined by the active BWP.</w:t>
      </w:r>
    </w:p>
    <w:p w14:paraId="1A5A35AD" w14:textId="77777777" w:rsidR="0023652F" w:rsidRPr="00787909" w:rsidRDefault="0023652F" w:rsidP="0023652F">
      <w:pPr>
        <w:overflowPunct/>
        <w:autoSpaceDE/>
        <w:autoSpaceDN/>
        <w:adjustRightInd/>
        <w:spacing w:after="0"/>
        <w:ind w:left="1288" w:hanging="720"/>
        <w:textAlignment w:val="auto"/>
        <w:rPr>
          <w:rFonts w:ascii="Times" w:eastAsia="Batang" w:hAnsi="Times"/>
          <w:sz w:val="18"/>
          <w:highlight w:val="green"/>
          <w:lang w:eastAsia="x-none"/>
        </w:rPr>
      </w:pPr>
    </w:p>
    <w:p w14:paraId="11C9F243" w14:textId="77777777" w:rsidR="0023652F" w:rsidRPr="00787909" w:rsidRDefault="0023652F" w:rsidP="0023652F">
      <w:pPr>
        <w:overflowPunct/>
        <w:autoSpaceDE/>
        <w:autoSpaceDN/>
        <w:adjustRightInd/>
        <w:spacing w:after="0"/>
        <w:ind w:left="1288" w:hanging="720"/>
        <w:textAlignment w:val="auto"/>
        <w:rPr>
          <w:rFonts w:ascii="Times" w:eastAsia="Batang" w:hAnsi="Times"/>
          <w:b/>
          <w:sz w:val="18"/>
          <w:lang w:eastAsia="x-none"/>
        </w:rPr>
      </w:pPr>
      <w:r w:rsidRPr="00787909">
        <w:rPr>
          <w:rFonts w:ascii="Times" w:eastAsia="Batang" w:hAnsi="Times"/>
          <w:sz w:val="18"/>
          <w:highlight w:val="green"/>
          <w:lang w:eastAsia="x-none"/>
        </w:rPr>
        <w:t>Agreements</w:t>
      </w:r>
      <w:r w:rsidRPr="00787909">
        <w:rPr>
          <w:rFonts w:ascii="Times" w:eastAsia="Batang" w:hAnsi="Times"/>
          <w:b/>
          <w:sz w:val="18"/>
          <w:lang w:eastAsia="x-none"/>
        </w:rPr>
        <w:t>:</w:t>
      </w:r>
      <w:r w:rsidRPr="00364FFF">
        <w:rPr>
          <w:sz w:val="18"/>
          <w:lang w:eastAsia="x-none"/>
        </w:rPr>
        <w:t xml:space="preserve"> (RAN1#92)</w:t>
      </w:r>
    </w:p>
    <w:p w14:paraId="0B5FA19A" w14:textId="77777777" w:rsidR="0023652F" w:rsidRPr="00787909" w:rsidRDefault="0023652F" w:rsidP="0023652F">
      <w:pPr>
        <w:overflowPunct/>
        <w:autoSpaceDE/>
        <w:autoSpaceDN/>
        <w:adjustRightInd/>
        <w:spacing w:after="0"/>
        <w:ind w:left="1288" w:hanging="720"/>
        <w:textAlignment w:val="auto"/>
        <w:rPr>
          <w:rFonts w:ascii="Times" w:eastAsia="Batang" w:hAnsi="Times" w:cs="Times"/>
          <w:b/>
          <w:bCs/>
          <w:sz w:val="18"/>
          <w:highlight w:val="darkYellow"/>
          <w:lang w:eastAsia="zh-CN"/>
        </w:rPr>
      </w:pPr>
      <w:r w:rsidRPr="00787909">
        <w:rPr>
          <w:rFonts w:ascii="Times" w:eastAsia="Batang" w:hAnsi="Times"/>
          <w:sz w:val="18"/>
          <w:szCs w:val="24"/>
          <w:lang w:eastAsia="zh-CN"/>
        </w:rPr>
        <w:t>Rearding the</w:t>
      </w:r>
      <w:r w:rsidRPr="00787909">
        <w:rPr>
          <w:rFonts w:ascii="Times" w:eastAsia="Batang" w:hAnsi="Times"/>
          <w:sz w:val="18"/>
          <w:szCs w:val="24"/>
          <w:highlight w:val="darkYellow"/>
          <w:lang w:eastAsia="zh-CN"/>
        </w:rPr>
        <w:t xml:space="preserve"> Working assumption</w:t>
      </w:r>
      <w:r w:rsidRPr="00787909">
        <w:rPr>
          <w:rFonts w:ascii="Times" w:eastAsia="Batang" w:hAnsi="Times"/>
          <w:b/>
          <w:bCs/>
          <w:sz w:val="18"/>
          <w:szCs w:val="24"/>
          <w:highlight w:val="darkYellow"/>
          <w:lang w:eastAsia="zh-CN"/>
        </w:rPr>
        <w:t>:</w:t>
      </w:r>
    </w:p>
    <w:p w14:paraId="6EC73954" w14:textId="77777777" w:rsidR="0023652F" w:rsidRPr="00787909" w:rsidRDefault="0023652F" w:rsidP="0023652F">
      <w:pPr>
        <w:numPr>
          <w:ilvl w:val="0"/>
          <w:numId w:val="18"/>
        </w:numPr>
        <w:overflowPunct/>
        <w:autoSpaceDE/>
        <w:autoSpaceDN/>
        <w:adjustRightInd/>
        <w:spacing w:after="0"/>
        <w:ind w:left="1288"/>
        <w:jc w:val="both"/>
        <w:textAlignment w:val="auto"/>
        <w:rPr>
          <w:rFonts w:ascii="Times" w:eastAsia="Batang" w:hAnsi="Times" w:cs="Times"/>
          <w:sz w:val="18"/>
          <w:lang w:eastAsia="zh-CN"/>
        </w:rPr>
      </w:pPr>
      <w:r w:rsidRPr="00787909">
        <w:rPr>
          <w:rFonts w:ascii="Times" w:eastAsia="Times New Roman" w:hAnsi="Times" w:cs="Times"/>
          <w:sz w:val="18"/>
          <w:lang w:eastAsia="zh-CN"/>
        </w:rPr>
        <w:t>The number of bits in the resource allocation field for format 0-0 and 1-0 depends on search space:</w:t>
      </w:r>
    </w:p>
    <w:p w14:paraId="6BEF480B" w14:textId="77777777" w:rsidR="0023652F" w:rsidRPr="00787909" w:rsidRDefault="0023652F" w:rsidP="0023652F">
      <w:pPr>
        <w:numPr>
          <w:ilvl w:val="1"/>
          <w:numId w:val="18"/>
        </w:numPr>
        <w:overflowPunct/>
        <w:autoSpaceDE/>
        <w:autoSpaceDN/>
        <w:adjustRightInd/>
        <w:spacing w:after="0"/>
        <w:ind w:left="2008"/>
        <w:jc w:val="both"/>
        <w:textAlignment w:val="auto"/>
        <w:rPr>
          <w:rFonts w:ascii="Times" w:eastAsia="Batang" w:hAnsi="Times" w:cs="Times"/>
          <w:sz w:val="18"/>
          <w:szCs w:val="24"/>
          <w:lang w:eastAsia="zh-CN"/>
        </w:rPr>
      </w:pPr>
      <w:r w:rsidRPr="00787909">
        <w:rPr>
          <w:rFonts w:ascii="Times" w:eastAsia="Batang" w:hAnsi="Times" w:cs="Times"/>
          <w:sz w:val="18"/>
          <w:szCs w:val="24"/>
          <w:lang w:eastAsia="zh-CN"/>
        </w:rPr>
        <w:t>In CSS(s) in CORESET 0, use initial DL BWP for DCI size determination and RB numbering</w:t>
      </w:r>
    </w:p>
    <w:p w14:paraId="55ABCA00" w14:textId="77777777" w:rsidR="0023652F" w:rsidRPr="00787909" w:rsidRDefault="0023652F" w:rsidP="0023652F">
      <w:pPr>
        <w:numPr>
          <w:ilvl w:val="2"/>
          <w:numId w:val="18"/>
        </w:numPr>
        <w:overflowPunct/>
        <w:autoSpaceDE/>
        <w:autoSpaceDN/>
        <w:adjustRightInd/>
        <w:spacing w:after="0"/>
        <w:ind w:left="2728"/>
        <w:jc w:val="both"/>
        <w:textAlignment w:val="auto"/>
        <w:rPr>
          <w:rFonts w:ascii="Times" w:eastAsia="Batang" w:hAnsi="Times" w:cs="Times"/>
          <w:sz w:val="18"/>
          <w:szCs w:val="24"/>
          <w:lang w:eastAsia="zh-CN"/>
        </w:rPr>
      </w:pPr>
      <w:r w:rsidRPr="00787909">
        <w:rPr>
          <w:rFonts w:ascii="Times" w:eastAsia="Batang" w:hAnsi="Times" w:cs="Times"/>
          <w:sz w:val="18"/>
          <w:szCs w:val="24"/>
          <w:lang w:eastAsia="zh-CN"/>
        </w:rPr>
        <w:t>FFS If a UE monitors 0-0/1-0 in CSS in CORESET 0 in a slot, it does not monitor formats 0-0 or 1-0 (or 2-x family in case they have a size aligned with 0-0/1-0) in any other search space</w:t>
      </w:r>
    </w:p>
    <w:p w14:paraId="3A715384" w14:textId="77777777" w:rsidR="0023652F" w:rsidRPr="00787909" w:rsidRDefault="0023652F" w:rsidP="0023652F">
      <w:pPr>
        <w:numPr>
          <w:ilvl w:val="1"/>
          <w:numId w:val="18"/>
        </w:numPr>
        <w:overflowPunct/>
        <w:autoSpaceDE/>
        <w:autoSpaceDN/>
        <w:adjustRightInd/>
        <w:spacing w:after="0"/>
        <w:ind w:left="2008"/>
        <w:jc w:val="both"/>
        <w:textAlignment w:val="auto"/>
        <w:rPr>
          <w:rFonts w:ascii="Times" w:eastAsia="Batang" w:hAnsi="Times" w:cs="Times"/>
          <w:sz w:val="18"/>
          <w:szCs w:val="24"/>
          <w:lang w:eastAsia="zh-CN"/>
        </w:rPr>
      </w:pPr>
      <w:r w:rsidRPr="00787909">
        <w:rPr>
          <w:rFonts w:ascii="Times" w:eastAsia="Batang" w:hAnsi="Times" w:cs="Times"/>
          <w:sz w:val="18"/>
          <w:szCs w:val="24"/>
          <w:lang w:eastAsia="zh-CN"/>
        </w:rPr>
        <w:t>Otherwise, use active BWP for DCI size determination and RB numbering</w:t>
      </w:r>
    </w:p>
    <w:p w14:paraId="289DCFE9" w14:textId="77777777" w:rsidR="0023652F" w:rsidRPr="00787909" w:rsidRDefault="0023652F" w:rsidP="0023652F">
      <w:pPr>
        <w:overflowPunct/>
        <w:autoSpaceDE/>
        <w:autoSpaceDN/>
        <w:adjustRightInd/>
        <w:spacing w:after="0"/>
        <w:ind w:left="1288" w:hanging="720"/>
        <w:jc w:val="both"/>
        <w:textAlignment w:val="auto"/>
        <w:rPr>
          <w:rFonts w:ascii="Times" w:eastAsia="Batang" w:hAnsi="Times"/>
          <w:sz w:val="18"/>
          <w:szCs w:val="24"/>
          <w:lang w:eastAsia="x-none"/>
        </w:rPr>
      </w:pPr>
    </w:p>
    <w:p w14:paraId="493DF922" w14:textId="77777777" w:rsidR="0023652F" w:rsidRPr="00787909" w:rsidRDefault="0023652F" w:rsidP="0023652F">
      <w:pPr>
        <w:overflowPunct/>
        <w:autoSpaceDE/>
        <w:autoSpaceDN/>
        <w:adjustRightInd/>
        <w:spacing w:after="0"/>
        <w:ind w:left="1288" w:hanging="720"/>
        <w:jc w:val="both"/>
        <w:textAlignment w:val="auto"/>
        <w:rPr>
          <w:rFonts w:ascii="Times" w:eastAsia="Batang" w:hAnsi="Times"/>
          <w:sz w:val="18"/>
          <w:szCs w:val="24"/>
          <w:lang w:eastAsia="x-none"/>
        </w:rPr>
      </w:pPr>
      <w:r w:rsidRPr="00787909">
        <w:rPr>
          <w:rFonts w:ascii="Times" w:eastAsia="Batang" w:hAnsi="Times"/>
          <w:sz w:val="18"/>
          <w:szCs w:val="24"/>
          <w:lang w:eastAsia="x-none"/>
        </w:rPr>
        <w:t xml:space="preserve">It is replaced by the following </w:t>
      </w:r>
      <w:r w:rsidRPr="00787909">
        <w:rPr>
          <w:rFonts w:ascii="Times" w:eastAsia="Batang" w:hAnsi="Times"/>
          <w:sz w:val="18"/>
          <w:szCs w:val="24"/>
          <w:highlight w:val="darkYellow"/>
          <w:lang w:eastAsia="x-none"/>
        </w:rPr>
        <w:t>working assumption</w:t>
      </w:r>
      <w:r w:rsidRPr="00787909">
        <w:rPr>
          <w:rFonts w:ascii="Times" w:eastAsia="Batang" w:hAnsi="Times"/>
          <w:sz w:val="18"/>
          <w:szCs w:val="24"/>
          <w:lang w:eastAsia="x-none"/>
        </w:rPr>
        <w:t>:</w:t>
      </w:r>
    </w:p>
    <w:p w14:paraId="698B5EDF" w14:textId="77777777" w:rsidR="0023652F" w:rsidRPr="00787909" w:rsidRDefault="0023652F" w:rsidP="0023652F">
      <w:pPr>
        <w:numPr>
          <w:ilvl w:val="0"/>
          <w:numId w:val="18"/>
        </w:numPr>
        <w:overflowPunct/>
        <w:autoSpaceDE/>
        <w:autoSpaceDN/>
        <w:adjustRightInd/>
        <w:spacing w:after="0"/>
        <w:ind w:left="1288"/>
        <w:jc w:val="both"/>
        <w:textAlignment w:val="auto"/>
        <w:rPr>
          <w:rFonts w:ascii="Times" w:eastAsia="Batang" w:hAnsi="Times"/>
          <w:sz w:val="18"/>
          <w:szCs w:val="24"/>
          <w:lang w:eastAsia="x-none"/>
        </w:rPr>
      </w:pPr>
      <w:r w:rsidRPr="00787909">
        <w:rPr>
          <w:rFonts w:ascii="Times" w:eastAsia="Batang" w:hAnsi="Times"/>
          <w:sz w:val="18"/>
          <w:szCs w:val="24"/>
          <w:lang w:eastAsia="x-none"/>
        </w:rPr>
        <w:t>When monitoring for DCI in a BWP, the size of DCI format 0-0/1-0 is given by</w:t>
      </w:r>
    </w:p>
    <w:p w14:paraId="22C382D4" w14:textId="77777777" w:rsidR="0023652F" w:rsidRPr="00787909" w:rsidRDefault="0023652F" w:rsidP="0023652F">
      <w:pPr>
        <w:numPr>
          <w:ilvl w:val="0"/>
          <w:numId w:val="18"/>
        </w:numPr>
        <w:overflowPunct/>
        <w:autoSpaceDE/>
        <w:autoSpaceDN/>
        <w:adjustRightInd/>
        <w:spacing w:after="0"/>
        <w:ind w:left="1648"/>
        <w:jc w:val="both"/>
        <w:textAlignment w:val="auto"/>
        <w:rPr>
          <w:rFonts w:ascii="Times" w:eastAsia="Batang" w:hAnsi="Times"/>
          <w:sz w:val="18"/>
          <w:szCs w:val="24"/>
          <w:lang w:eastAsia="x-none"/>
        </w:rPr>
      </w:pPr>
      <w:r w:rsidRPr="00787909">
        <w:rPr>
          <w:rFonts w:ascii="Times" w:eastAsia="Batang" w:hAnsi="Times"/>
          <w:sz w:val="18"/>
          <w:szCs w:val="24"/>
          <w:lang w:eastAsia="x-none"/>
        </w:rPr>
        <w:t>For format 0-0/1-0 (regardless of RNTI) in CSS, the size is given by the initial DL BWP</w:t>
      </w:r>
    </w:p>
    <w:p w14:paraId="417ED57C" w14:textId="77777777" w:rsidR="0023652F" w:rsidRPr="00787909" w:rsidRDefault="0023652F" w:rsidP="0023652F">
      <w:pPr>
        <w:numPr>
          <w:ilvl w:val="0"/>
          <w:numId w:val="18"/>
        </w:numPr>
        <w:overflowPunct/>
        <w:autoSpaceDE/>
        <w:autoSpaceDN/>
        <w:adjustRightInd/>
        <w:spacing w:after="0"/>
        <w:ind w:left="1648"/>
        <w:jc w:val="both"/>
        <w:textAlignment w:val="auto"/>
        <w:rPr>
          <w:rFonts w:ascii="Times" w:eastAsia="Batang" w:hAnsi="Times"/>
          <w:sz w:val="18"/>
          <w:szCs w:val="24"/>
          <w:lang w:eastAsia="x-none"/>
        </w:rPr>
      </w:pPr>
      <w:r w:rsidRPr="00787909">
        <w:rPr>
          <w:rFonts w:ascii="Times" w:eastAsia="Batang" w:hAnsi="Times"/>
          <w:sz w:val="18"/>
          <w:szCs w:val="24"/>
          <w:lang w:eastAsia="x-none"/>
        </w:rPr>
        <w:t xml:space="preserve">For format 0-0/1-0 in USS, the size is given by the active BWP as long as the DCI size budget is fulfilled </w:t>
      </w:r>
    </w:p>
    <w:p w14:paraId="39D0C10D"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highlight w:val="yellow"/>
          <w:lang w:eastAsia="x-none"/>
        </w:rPr>
        <w:t>FFS</w:t>
      </w:r>
      <w:r w:rsidRPr="00787909">
        <w:rPr>
          <w:rFonts w:ascii="Times" w:eastAsia="Batang" w:hAnsi="Times"/>
          <w:sz w:val="18"/>
          <w:szCs w:val="24"/>
          <w:lang w:eastAsia="x-none"/>
        </w:rPr>
        <w:t>: Otherwise, for format 0-0/1-0, the size is given by the initial DL BWP</w:t>
      </w:r>
    </w:p>
    <w:p w14:paraId="188AE2BF" w14:textId="77777777" w:rsidR="0023652F" w:rsidRPr="00787909" w:rsidRDefault="0023652F" w:rsidP="0023652F">
      <w:pPr>
        <w:numPr>
          <w:ilvl w:val="0"/>
          <w:numId w:val="18"/>
        </w:numPr>
        <w:overflowPunct/>
        <w:autoSpaceDE/>
        <w:autoSpaceDN/>
        <w:adjustRightInd/>
        <w:spacing w:after="0"/>
        <w:ind w:left="1648"/>
        <w:jc w:val="both"/>
        <w:textAlignment w:val="auto"/>
        <w:rPr>
          <w:rFonts w:ascii="Times" w:eastAsia="Batang" w:hAnsi="Times"/>
          <w:sz w:val="18"/>
          <w:szCs w:val="24"/>
          <w:lang w:eastAsia="x-none"/>
        </w:rPr>
      </w:pPr>
      <w:r w:rsidRPr="00787909">
        <w:rPr>
          <w:rFonts w:ascii="Times" w:eastAsia="Batang" w:hAnsi="Times"/>
          <w:sz w:val="18"/>
          <w:szCs w:val="24"/>
          <w:highlight w:val="yellow"/>
          <w:lang w:eastAsia="x-none"/>
        </w:rPr>
        <w:t>FFS</w:t>
      </w:r>
      <w:r w:rsidRPr="00787909">
        <w:rPr>
          <w:rFonts w:ascii="Times" w:eastAsia="Batang" w:hAnsi="Times"/>
          <w:sz w:val="18"/>
          <w:szCs w:val="24"/>
          <w:lang w:eastAsia="x-none"/>
        </w:rPr>
        <w:t>: how to meet the C-RNTI size and DCI size budget per slot</w:t>
      </w:r>
    </w:p>
    <w:p w14:paraId="232976C1"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lang w:eastAsia="x-none"/>
        </w:rPr>
        <w:t>align 0-1 and 1-1</w:t>
      </w:r>
    </w:p>
    <w:p w14:paraId="08BD9AE4"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lang w:eastAsia="x-none"/>
        </w:rPr>
        <w:t>configure active BWP such that the DCI size is the same as of the initial BWP</w:t>
      </w:r>
    </w:p>
    <w:p w14:paraId="6CEBC8F5"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lang w:eastAsia="x-none"/>
        </w:rPr>
        <w:t>do not configure 0-1 and 1-1</w:t>
      </w:r>
    </w:p>
    <w:p w14:paraId="2C895EAF"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lang w:eastAsia="x-none"/>
        </w:rPr>
        <w:t>do not configure 0-0/1-0 in USS</w:t>
      </w:r>
    </w:p>
    <w:p w14:paraId="2D0226D5" w14:textId="77777777" w:rsidR="0023652F" w:rsidRPr="00787909" w:rsidRDefault="0023652F" w:rsidP="0023652F">
      <w:pPr>
        <w:numPr>
          <w:ilvl w:val="1"/>
          <w:numId w:val="18"/>
        </w:numPr>
        <w:overflowPunct/>
        <w:autoSpaceDE/>
        <w:autoSpaceDN/>
        <w:adjustRightInd/>
        <w:spacing w:after="0"/>
        <w:ind w:left="2368"/>
        <w:jc w:val="both"/>
        <w:textAlignment w:val="auto"/>
        <w:rPr>
          <w:rFonts w:ascii="Times" w:eastAsia="Batang" w:hAnsi="Times"/>
          <w:sz w:val="18"/>
          <w:szCs w:val="24"/>
          <w:lang w:eastAsia="x-none"/>
        </w:rPr>
      </w:pPr>
      <w:r w:rsidRPr="00787909">
        <w:rPr>
          <w:rFonts w:ascii="Times" w:eastAsia="Batang" w:hAnsi="Times"/>
          <w:sz w:val="18"/>
          <w:szCs w:val="24"/>
          <w:lang w:eastAsia="x-none"/>
        </w:rPr>
        <w:t>other are not precluded</w:t>
      </w:r>
    </w:p>
    <w:p w14:paraId="46988941" w14:textId="77777777" w:rsidR="0023652F" w:rsidRPr="00787909" w:rsidRDefault="0023652F" w:rsidP="0023652F">
      <w:pPr>
        <w:numPr>
          <w:ilvl w:val="0"/>
          <w:numId w:val="18"/>
        </w:numPr>
        <w:overflowPunct/>
        <w:autoSpaceDE/>
        <w:autoSpaceDN/>
        <w:adjustRightInd/>
        <w:spacing w:after="0"/>
        <w:ind w:left="1648"/>
        <w:jc w:val="both"/>
        <w:textAlignment w:val="auto"/>
        <w:rPr>
          <w:rFonts w:ascii="Times" w:eastAsia="Batang" w:hAnsi="Times"/>
          <w:szCs w:val="24"/>
          <w:lang w:eastAsia="x-none"/>
        </w:rPr>
      </w:pPr>
      <w:r w:rsidRPr="00787909">
        <w:rPr>
          <w:rFonts w:ascii="Times" w:eastAsia="Batang" w:hAnsi="Times"/>
          <w:sz w:val="18"/>
          <w:szCs w:val="24"/>
          <w:highlight w:val="yellow"/>
          <w:lang w:eastAsia="x-none"/>
        </w:rPr>
        <w:t>FFS</w:t>
      </w:r>
      <w:r w:rsidRPr="00787909">
        <w:rPr>
          <w:rFonts w:ascii="Times" w:eastAsia="Batang" w:hAnsi="Times"/>
          <w:sz w:val="18"/>
          <w:szCs w:val="24"/>
          <w:lang w:eastAsia="x-none"/>
        </w:rPr>
        <w:t>: for format 0-0/1-0, how to interpret the frequency-domain field in a DCI with a size defined from a BWP with a different size than the BWP it is applied to</w:t>
      </w:r>
    </w:p>
    <w:p w14:paraId="558B8519" w14:textId="77777777" w:rsidR="008B2B4D" w:rsidRDefault="008B2B4D" w:rsidP="00ED1327">
      <w:pPr>
        <w:rPr>
          <w:rFonts w:eastAsia="Times New Roman"/>
        </w:rPr>
      </w:pPr>
    </w:p>
    <w:p w14:paraId="76354088" w14:textId="51F8EC3B" w:rsidR="00DE775C" w:rsidRDefault="0023652F" w:rsidP="00ED1327">
      <w:pPr>
        <w:rPr>
          <w:rFonts w:eastAsia="Times New Roman"/>
        </w:rPr>
      </w:pPr>
      <w:r>
        <w:rPr>
          <w:rFonts w:eastAsia="Times New Roman"/>
        </w:rPr>
        <w:t>In this contribution</w:t>
      </w:r>
      <w:r w:rsidR="00AA12D0">
        <w:rPr>
          <w:rFonts w:eastAsia="Times New Roman"/>
        </w:rPr>
        <w:t xml:space="preserve"> we will discuss</w:t>
      </w:r>
      <w:r w:rsidRPr="0023652F">
        <w:rPr>
          <w:rFonts w:eastAsia="Times New Roman"/>
        </w:rPr>
        <w:t xml:space="preserve"> </w:t>
      </w:r>
      <w:r>
        <w:rPr>
          <w:rFonts w:eastAsia="Times New Roman"/>
        </w:rPr>
        <w:t>the remaining issues related to the alignment of different DCI format sizes</w:t>
      </w:r>
      <w:r w:rsidR="006D4B93">
        <w:rPr>
          <w:rFonts w:eastAsia="Times New Roman"/>
        </w:rPr>
        <w:t>.</w:t>
      </w:r>
    </w:p>
    <w:p w14:paraId="1058A453" w14:textId="155B4D3B" w:rsidR="00D9248D" w:rsidRDefault="00D9248D" w:rsidP="00D9248D">
      <w:pPr>
        <w:pStyle w:val="Heading1"/>
        <w:rPr>
          <w:color w:val="000000"/>
        </w:rPr>
      </w:pPr>
      <w:r>
        <w:rPr>
          <w:color w:val="000000"/>
        </w:rPr>
        <w:t>2</w:t>
      </w:r>
      <w:r w:rsidRPr="00A51522">
        <w:rPr>
          <w:color w:val="000000"/>
        </w:rPr>
        <w:tab/>
      </w:r>
      <w:r w:rsidR="00FB6739">
        <w:rPr>
          <w:color w:val="000000"/>
        </w:rPr>
        <w:t>Interpretation of frequency resource allocation field</w:t>
      </w:r>
    </w:p>
    <w:p w14:paraId="6AAE8B7A" w14:textId="3A497967" w:rsidR="00FB6739" w:rsidRDefault="00196530" w:rsidP="00FB6739">
      <w:r>
        <w:t>Following</w:t>
      </w:r>
      <w:r w:rsidR="00FB6739">
        <w:t xml:space="preserve"> the working assumption, there are cases when the size of format 0_0/1_0 is defined based on a BW</w:t>
      </w:r>
      <w:r w:rsidR="00904595">
        <w:t>P different from the active BWP, e.g., when format 0_0/1_0 is configured in CSS (size determined by the initial BWP) but the UE’s active BWP is not the initial BWP. For these cases, we need to define the UE behaviour in interpreting the frequency resource allocation field</w:t>
      </w:r>
      <w:r w:rsidR="00BC0740">
        <w:t xml:space="preserve">. </w:t>
      </w:r>
      <w:r w:rsidR="00141CBA">
        <w:t xml:space="preserve">There is a similar issue </w:t>
      </w:r>
      <w:r w:rsidR="00A963A1">
        <w:t xml:space="preserve">occurring for </w:t>
      </w:r>
      <w:r w:rsidR="00141CBA">
        <w:t>DCI for BWP switching, which is discussed in our companion contribution [</w:t>
      </w:r>
      <w:r w:rsidR="00AC6006">
        <w:t>1</w:t>
      </w:r>
      <w:r w:rsidR="00141CBA">
        <w:t>].</w:t>
      </w:r>
    </w:p>
    <w:p w14:paraId="58694EAE" w14:textId="3B792C31" w:rsidR="004779E5" w:rsidRDefault="004779E5" w:rsidP="00FB6739">
      <w:r w:rsidRPr="00C47290">
        <w:rPr>
          <w:b/>
        </w:rPr>
        <w:t xml:space="preserve">The </w:t>
      </w:r>
      <w:r w:rsidR="00431485" w:rsidRPr="00C47290">
        <w:rPr>
          <w:b/>
        </w:rPr>
        <w:t>1</w:t>
      </w:r>
      <w:r w:rsidR="00431485" w:rsidRPr="00C47290">
        <w:rPr>
          <w:b/>
          <w:vertAlign w:val="superscript"/>
        </w:rPr>
        <w:t>st</w:t>
      </w:r>
      <w:r w:rsidRPr="00C47290">
        <w:rPr>
          <w:b/>
        </w:rPr>
        <w:t xml:space="preserve"> approach</w:t>
      </w:r>
      <w:r>
        <w:t xml:space="preserve"> is </w:t>
      </w:r>
      <w:r w:rsidRPr="001F7BD7">
        <w:rPr>
          <w:b/>
        </w:rPr>
        <w:t>zero-padding or truncating the field directly</w:t>
      </w:r>
      <w:r>
        <w:t>. As shown in [1]</w:t>
      </w:r>
      <w:r w:rsidR="000F3E12">
        <w:t xml:space="preserve"> and also in the appendix</w:t>
      </w:r>
      <w:r>
        <w:t xml:space="preserve">, </w:t>
      </w:r>
      <w:r w:rsidR="002945F2">
        <w:t>p</w:t>
      </w:r>
      <w:r w:rsidR="002945F2" w:rsidRPr="002945F2">
        <w:t>adding the RIV value with zeros</w:t>
      </w:r>
      <w:r w:rsidR="000F3E12">
        <w:t xml:space="preserve"> results in </w:t>
      </w:r>
      <w:r w:rsidR="000F3E12" w:rsidRPr="000F3E12">
        <w:t>undesirable pruning of start and/or length values</w:t>
      </w:r>
      <w:r w:rsidR="002945F2">
        <w:t>.</w:t>
      </w:r>
      <w:r w:rsidR="008967AB">
        <w:t xml:space="preserve"> So this is not preferred.</w:t>
      </w:r>
    </w:p>
    <w:p w14:paraId="548CD01B" w14:textId="2EFC0F1E" w:rsidR="002945F2" w:rsidRDefault="002945F2" w:rsidP="00FB6739">
      <w:r w:rsidRPr="00C47290">
        <w:rPr>
          <w:b/>
        </w:rPr>
        <w:lastRenderedPageBreak/>
        <w:t xml:space="preserve">The </w:t>
      </w:r>
      <w:r w:rsidR="00431485" w:rsidRPr="00C47290">
        <w:rPr>
          <w:b/>
        </w:rPr>
        <w:t>2</w:t>
      </w:r>
      <w:r w:rsidR="00431485" w:rsidRPr="00C47290">
        <w:rPr>
          <w:b/>
          <w:vertAlign w:val="superscript"/>
        </w:rPr>
        <w:t>nd</w:t>
      </w:r>
      <w:r w:rsidRPr="00C47290">
        <w:rPr>
          <w:b/>
        </w:rPr>
        <w:t xml:space="preserve"> approach</w:t>
      </w:r>
      <w:r>
        <w:t xml:space="preserve"> is to </w:t>
      </w:r>
      <w:r w:rsidR="00C32D0D" w:rsidRPr="001F7BD7">
        <w:rPr>
          <w:b/>
        </w:rPr>
        <w:t>derive the start position and length from RIV based on the initial BWP</w:t>
      </w:r>
      <w:r w:rsidR="00C32D0D">
        <w:t>, and use the start and length on the active BWP. This means restriction of the start position and length to smaller values</w:t>
      </w:r>
      <w:r w:rsidR="00AE15CC">
        <w:t xml:space="preserve">, but the behaviour is more predictable and easier to </w:t>
      </w:r>
      <w:r w:rsidR="00A963A1">
        <w:t>implement</w:t>
      </w:r>
      <w:r w:rsidR="00AE15CC">
        <w:t>. A variation of this approach</w:t>
      </w:r>
      <w:r w:rsidR="007B5B3F">
        <w:t>, as proposed in [1],</w:t>
      </w:r>
      <w:r w:rsidR="00AE15CC">
        <w:t xml:space="preserve"> is to define a </w:t>
      </w:r>
      <w:r w:rsidR="00AE15CC" w:rsidRPr="00F23606">
        <w:rPr>
          <w:b/>
        </w:rPr>
        <w:t>virtual BWP</w:t>
      </w:r>
      <w:r w:rsidR="00AE15CC">
        <w:t>, which corresponds to the maximum PRBs that can be supported by the bitwidth of the frequency RA field</w:t>
      </w:r>
      <w:r w:rsidR="007B5B3F">
        <w:t xml:space="preserve">. </w:t>
      </w:r>
      <w:r w:rsidR="007B5B3F" w:rsidRPr="001F7BD7">
        <w:rPr>
          <w:b/>
        </w:rPr>
        <w:t>The start position and length is derived from RIV based on the</w:t>
      </w:r>
      <w:r w:rsidR="00A963A1">
        <w:rPr>
          <w:b/>
        </w:rPr>
        <w:t xml:space="preserve"> size (number of PRBs) of the</w:t>
      </w:r>
      <w:r w:rsidR="007B5B3F" w:rsidRPr="001F7BD7">
        <w:rPr>
          <w:b/>
        </w:rPr>
        <w:t xml:space="preserve"> virtual BWP</w:t>
      </w:r>
      <w:r w:rsidR="007B5B3F">
        <w:t>, and then applied to the active BWP.</w:t>
      </w:r>
      <w:r w:rsidR="00F23606">
        <w:t xml:space="preserve"> </w:t>
      </w:r>
      <w:r w:rsidR="00814275">
        <w:t>T</w:t>
      </w:r>
      <w:r w:rsidR="00F23606">
        <w:t>his supports a larger range for the start position and length</w:t>
      </w:r>
      <w:r w:rsidR="00A963A1">
        <w:t xml:space="preserve"> compared to interpretation </w:t>
      </w:r>
      <w:r w:rsidR="008858BD">
        <w:t>using</w:t>
      </w:r>
      <w:r w:rsidR="00A963A1">
        <w:t xml:space="preserve"> the size of the initial BWP.</w:t>
      </w:r>
    </w:p>
    <w:p w14:paraId="508A773D" w14:textId="2D5BDC09" w:rsidR="00431485" w:rsidRDefault="00431485" w:rsidP="00FB6739">
      <w:r w:rsidRPr="00C47290">
        <w:rPr>
          <w:b/>
        </w:rPr>
        <w:t>The 3</w:t>
      </w:r>
      <w:r w:rsidRPr="00C47290">
        <w:rPr>
          <w:b/>
          <w:vertAlign w:val="superscript"/>
        </w:rPr>
        <w:t>rd</w:t>
      </w:r>
      <w:r w:rsidRPr="00C47290">
        <w:rPr>
          <w:b/>
        </w:rPr>
        <w:t xml:space="preserve"> approach</w:t>
      </w:r>
      <w:r>
        <w:t xml:space="preserve"> is to </w:t>
      </w:r>
      <w:r w:rsidRPr="001F7BD7">
        <w:rPr>
          <w:b/>
        </w:rPr>
        <w:t>apply a scaling factor to both starting position and the length</w:t>
      </w:r>
      <w:r>
        <w:t xml:space="preserve">, which is essentially the RBG-based operation for type 1 (instead of RB-based). </w:t>
      </w:r>
      <w:r w:rsidR="00A963A1">
        <w:t>T</w:t>
      </w:r>
      <w:r w:rsidR="00114F74">
        <w:t xml:space="preserve">o be able to use the full </w:t>
      </w:r>
      <w:r w:rsidR="008967AB">
        <w:t xml:space="preserve">active </w:t>
      </w:r>
      <w:r w:rsidR="00114F74">
        <w:t xml:space="preserve">bandwidth, the scaling factor would </w:t>
      </w:r>
      <w:r w:rsidR="00A963A1">
        <w:t xml:space="preserve">need to </w:t>
      </w:r>
      <w:r w:rsidR="001F7BD7">
        <w:t xml:space="preserve">be </w:t>
      </w:r>
      <w:r w:rsidR="000F3E0E">
        <w:t>roughly equal to</w:t>
      </w:r>
      <w:r w:rsidR="00114F74">
        <w:t xml:space="preserve"> the ratio of the active BWP and the initial BWP.</w:t>
      </w:r>
    </w:p>
    <w:p w14:paraId="6E5F80C2" w14:textId="244DD7D5" w:rsidR="008967AB" w:rsidRDefault="001E7FC6" w:rsidP="00FB6739">
      <w:r>
        <w:t>For unicast data scheduling, both the 2</w:t>
      </w:r>
      <w:r w:rsidRPr="001E7FC6">
        <w:rPr>
          <w:vertAlign w:val="superscript"/>
        </w:rPr>
        <w:t>nd</w:t>
      </w:r>
      <w:r>
        <w:t xml:space="preserve"> and 3</w:t>
      </w:r>
      <w:r w:rsidRPr="001E7FC6">
        <w:rPr>
          <w:vertAlign w:val="superscript"/>
        </w:rPr>
        <w:t>rd</w:t>
      </w:r>
      <w:r>
        <w:t xml:space="preserve"> approach would work.</w:t>
      </w:r>
    </w:p>
    <w:p w14:paraId="595DD98C" w14:textId="2EB26974" w:rsidR="001E7FC6" w:rsidRDefault="00C652A8" w:rsidP="00FB6739">
      <w:r>
        <w:t>For broadcast/group-</w:t>
      </w:r>
      <w:r w:rsidR="001E7FC6">
        <w:t xml:space="preserve">common message scheduling, we want the UEs to </w:t>
      </w:r>
      <w:r w:rsidR="00375A94">
        <w:t xml:space="preserve">derive the same frequency resource allocation regardless of the active BWPs of different UEs. </w:t>
      </w:r>
      <w:r w:rsidR="00341E87">
        <w:t>The 3</w:t>
      </w:r>
      <w:r w:rsidR="00341E87" w:rsidRPr="00341E87">
        <w:rPr>
          <w:vertAlign w:val="superscript"/>
        </w:rPr>
        <w:t>rd</w:t>
      </w:r>
      <w:r w:rsidR="00341E87">
        <w:t xml:space="preserve"> a</w:t>
      </w:r>
      <w:r w:rsidR="002D076C">
        <w:t>pproach</w:t>
      </w:r>
      <w:r w:rsidR="00651967">
        <w:t>, assuming that the scaling factor would be depe</w:t>
      </w:r>
      <w:r w:rsidR="00A401B2">
        <w:t>n</w:t>
      </w:r>
      <w:r w:rsidR="00651967">
        <w:t>dent</w:t>
      </w:r>
      <w:r w:rsidR="00A401B2">
        <w:t xml:space="preserve"> on the active BWP</w:t>
      </w:r>
      <w:r w:rsidR="00651967">
        <w:t>,</w:t>
      </w:r>
      <w:r w:rsidR="002D076C">
        <w:t xml:space="preserve"> would result in different PRB locations depending on the active BWP, therefore it is not appropriate for broadcast messages.</w:t>
      </w:r>
      <w:r w:rsidR="00341E87">
        <w:t xml:space="preserve"> The 2</w:t>
      </w:r>
      <w:r w:rsidR="00341E87" w:rsidRPr="00341E87">
        <w:rPr>
          <w:vertAlign w:val="superscript"/>
        </w:rPr>
        <w:t>nd</w:t>
      </w:r>
      <w:r w:rsidR="00341E87">
        <w:t xml:space="preserve"> approach could work </w:t>
      </w:r>
      <w:r w:rsidR="006B5C3E">
        <w:t>if we modify it slightly so that</w:t>
      </w:r>
      <w:r w:rsidR="00341E87">
        <w:t xml:space="preserve"> </w:t>
      </w:r>
      <w:r w:rsidR="006B5C3E">
        <w:t>all</w:t>
      </w:r>
      <w:r w:rsidR="00341E87">
        <w:t xml:space="preserve"> UEs </w:t>
      </w:r>
      <w:r w:rsidR="006B5C3E">
        <w:t>use a</w:t>
      </w:r>
      <w:r w:rsidR="00341E87">
        <w:t xml:space="preserve"> </w:t>
      </w:r>
      <w:r w:rsidR="00651967">
        <w:t xml:space="preserve">common </w:t>
      </w:r>
      <w:r w:rsidR="006B5C3E">
        <w:t xml:space="preserve">reference </w:t>
      </w:r>
      <w:r w:rsidR="008B6C8E">
        <w:t>point as the starting point for resource allocation, instead of applying it to the active BWP directly.</w:t>
      </w:r>
      <w:r w:rsidR="00651967">
        <w:t xml:space="preserve"> </w:t>
      </w:r>
      <w:r w:rsidR="00262254">
        <w:t xml:space="preserve">There are different cases where the initial BWP could be nested or not nested within the active BWP, or the multiple BWPs being configured can be nested or not. A unified approach for all these cases could be to </w:t>
      </w:r>
      <w:bookmarkStart w:id="1" w:name="_Hlk510694290"/>
      <w:r w:rsidR="00262254">
        <w:t>use the lowest indexed PRB of the CSS CORESET carrying the broadcast message as the reference</w:t>
      </w:r>
      <w:bookmarkEnd w:id="1"/>
      <w:r w:rsidR="00262254">
        <w:t>.</w:t>
      </w:r>
    </w:p>
    <w:p w14:paraId="27CA21D9" w14:textId="2AA32DB1" w:rsidR="00126A02" w:rsidRPr="00F6260C" w:rsidRDefault="009D48AC" w:rsidP="00FB6739">
      <w:pPr>
        <w:rPr>
          <w:b/>
        </w:rPr>
      </w:pPr>
      <w:r w:rsidRPr="00C47290">
        <w:rPr>
          <w:b/>
        </w:rPr>
        <w:t>Pr</w:t>
      </w:r>
      <w:r w:rsidR="0099262C" w:rsidRPr="00C47290">
        <w:rPr>
          <w:b/>
        </w:rPr>
        <w:t>o</w:t>
      </w:r>
      <w:r w:rsidRPr="00C47290">
        <w:rPr>
          <w:b/>
        </w:rPr>
        <w:t>posal 1</w:t>
      </w:r>
      <w:r w:rsidR="00126A02" w:rsidRPr="00F6260C">
        <w:rPr>
          <w:b/>
        </w:rPr>
        <w:t xml:space="preserve">: For unicast data scheduling, </w:t>
      </w:r>
      <w:r w:rsidR="00C652A8" w:rsidRPr="00F6260C">
        <w:rPr>
          <w:b/>
        </w:rPr>
        <w:t xml:space="preserve">in case the DCI size is determined using the initial BWP instead of the active BWP, </w:t>
      </w:r>
      <w:r w:rsidR="00503356" w:rsidRPr="00F6260C">
        <w:rPr>
          <w:b/>
        </w:rPr>
        <w:t xml:space="preserve">one of the following options </w:t>
      </w:r>
      <w:r w:rsidR="00C455D8">
        <w:rPr>
          <w:b/>
        </w:rPr>
        <w:t>is</w:t>
      </w:r>
      <w:r w:rsidR="00503356" w:rsidRPr="00F6260C">
        <w:rPr>
          <w:b/>
        </w:rPr>
        <w:t xml:space="preserve"> used for </w:t>
      </w:r>
      <w:r w:rsidR="003A7846">
        <w:rPr>
          <w:b/>
        </w:rPr>
        <w:t xml:space="preserve">the </w:t>
      </w:r>
      <w:r w:rsidR="00503356" w:rsidRPr="00F6260C">
        <w:rPr>
          <w:b/>
        </w:rPr>
        <w:t>interpretation of frequency RA field</w:t>
      </w:r>
      <w:r w:rsidR="00812D1B" w:rsidRPr="00F6260C">
        <w:rPr>
          <w:b/>
        </w:rPr>
        <w:t>:</w:t>
      </w:r>
    </w:p>
    <w:p w14:paraId="712002EB" w14:textId="52E5B25D" w:rsidR="00812D1B" w:rsidRPr="00A963A1" w:rsidRDefault="00DE55DC" w:rsidP="005D630B">
      <w:pPr>
        <w:pStyle w:val="ListParagraph"/>
        <w:numPr>
          <w:ilvl w:val="0"/>
          <w:numId w:val="25"/>
        </w:numPr>
        <w:rPr>
          <w:b/>
          <w:sz w:val="20"/>
          <w:szCs w:val="20"/>
          <w:lang w:val="en-US"/>
        </w:rPr>
      </w:pPr>
      <w:r w:rsidRPr="00A963A1">
        <w:rPr>
          <w:b/>
          <w:sz w:val="20"/>
          <w:szCs w:val="20"/>
          <w:lang w:val="en-US"/>
        </w:rPr>
        <w:t>Derive the start position and length from RIV based on the initial BWP or a virtual BWP (the maximum bandwidth that can be supported by the bitwidth of the frequency RA field), a</w:t>
      </w:r>
      <w:r w:rsidR="005D630B" w:rsidRPr="00A963A1">
        <w:rPr>
          <w:b/>
          <w:sz w:val="20"/>
          <w:szCs w:val="20"/>
          <w:lang w:val="en-US"/>
        </w:rPr>
        <w:t>nd apply them to the active BWP, or</w:t>
      </w:r>
    </w:p>
    <w:p w14:paraId="50F87798" w14:textId="433391C0" w:rsidR="005D630B" w:rsidRPr="00A963A1" w:rsidRDefault="005D630B" w:rsidP="005D630B">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w:t>
      </w:r>
      <w:r w:rsidR="009D48AC" w:rsidRPr="00A963A1">
        <w:rPr>
          <w:b/>
          <w:sz w:val="20"/>
          <w:szCs w:val="20"/>
          <w:lang w:val="en-US"/>
        </w:rPr>
        <w:t>apply a scaling factor and then apply to the active BWP</w:t>
      </w:r>
      <w:r w:rsidRPr="00A963A1">
        <w:rPr>
          <w:b/>
          <w:sz w:val="20"/>
          <w:szCs w:val="20"/>
          <w:lang w:val="en-US"/>
        </w:rPr>
        <w:t xml:space="preserve"> </w:t>
      </w:r>
    </w:p>
    <w:p w14:paraId="116082A2" w14:textId="2D8CB32C" w:rsidR="00DE55DC" w:rsidRDefault="00DE55DC" w:rsidP="00FB6739"/>
    <w:p w14:paraId="5B172934" w14:textId="511CB9F7" w:rsidR="00C652A8" w:rsidRPr="00F6260C" w:rsidRDefault="00C652A8" w:rsidP="00C652A8">
      <w:pPr>
        <w:rPr>
          <w:b/>
        </w:rPr>
      </w:pPr>
      <w:r w:rsidRPr="00C47290">
        <w:rPr>
          <w:b/>
        </w:rPr>
        <w:t>Proposal 2</w:t>
      </w:r>
      <w:r w:rsidRPr="00F6260C">
        <w:rPr>
          <w:b/>
        </w:rPr>
        <w:t xml:space="preserve">: For broadcast/group-common data scheduling, in case the DCI size is determined using the initial BWP instead of the active BWP, the following </w:t>
      </w:r>
      <w:r w:rsidR="003A7846">
        <w:rPr>
          <w:b/>
        </w:rPr>
        <w:t>is</w:t>
      </w:r>
      <w:r w:rsidRPr="00F6260C">
        <w:rPr>
          <w:b/>
        </w:rPr>
        <w:t xml:space="preserve"> used for</w:t>
      </w:r>
      <w:r w:rsidR="003A7846">
        <w:rPr>
          <w:b/>
        </w:rPr>
        <w:t xml:space="preserve"> the</w:t>
      </w:r>
      <w:r w:rsidRPr="00F6260C">
        <w:rPr>
          <w:b/>
        </w:rPr>
        <w:t xml:space="preserve"> interpretation of frequency RA field:</w:t>
      </w:r>
    </w:p>
    <w:p w14:paraId="229493D9" w14:textId="56170A54" w:rsidR="00C652A8" w:rsidRPr="00A963A1" w:rsidRDefault="00C652A8" w:rsidP="00C652A8">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or a virtual BWP (the maximum bandwidth that can be supported by the bitwidth of the frequency RA field), and apply them </w:t>
      </w:r>
      <w:r w:rsidR="00887278">
        <w:rPr>
          <w:b/>
          <w:sz w:val="20"/>
          <w:szCs w:val="20"/>
          <w:lang w:val="en-US"/>
        </w:rPr>
        <w:t>assuming PRB0 points to the lowest indexed PRB of the corresponding CORESET</w:t>
      </w:r>
      <w:r w:rsidRPr="00A963A1">
        <w:rPr>
          <w:b/>
          <w:sz w:val="20"/>
          <w:szCs w:val="20"/>
          <w:lang w:val="en-US"/>
        </w:rPr>
        <w:t>.</w:t>
      </w:r>
    </w:p>
    <w:p w14:paraId="543E5679" w14:textId="77777777" w:rsidR="003B4405" w:rsidRPr="00A963A1" w:rsidRDefault="003B4405" w:rsidP="00FB6739">
      <w:pPr>
        <w:rPr>
          <w:lang w:val="en-US"/>
        </w:rPr>
      </w:pPr>
    </w:p>
    <w:p w14:paraId="09C25995" w14:textId="3BF0C837" w:rsidR="00C652A8" w:rsidRPr="00A963A1" w:rsidRDefault="00F6260C" w:rsidP="00FB6739">
      <w:pPr>
        <w:rPr>
          <w:lang w:val="en-US"/>
        </w:rPr>
      </w:pPr>
      <w:r w:rsidRPr="00A963A1">
        <w:rPr>
          <w:lang w:val="en-US"/>
        </w:rPr>
        <w:t xml:space="preserve">If there is a desire to </w:t>
      </w:r>
      <w:r w:rsidR="003B4405" w:rsidRPr="00A963A1">
        <w:rPr>
          <w:lang w:val="en-US"/>
        </w:rPr>
        <w:t>adopt a unified approach for both cases, the 2nd approach would be the choice.</w:t>
      </w:r>
    </w:p>
    <w:p w14:paraId="30E0296E" w14:textId="69DBEAC5" w:rsidR="004B23AD" w:rsidRDefault="00FB6739" w:rsidP="004B23AD">
      <w:pPr>
        <w:pStyle w:val="Heading1"/>
        <w:rPr>
          <w:color w:val="000000"/>
        </w:rPr>
      </w:pPr>
      <w:r>
        <w:rPr>
          <w:color w:val="000000"/>
        </w:rPr>
        <w:t>3</w:t>
      </w:r>
      <w:r w:rsidR="004B23AD" w:rsidRPr="00A51522">
        <w:rPr>
          <w:color w:val="000000"/>
        </w:rPr>
        <w:tab/>
      </w:r>
      <w:r w:rsidR="00AA12D0">
        <w:rPr>
          <w:color w:val="000000"/>
        </w:rPr>
        <w:t>DCI format sizes</w:t>
      </w:r>
    </w:p>
    <w:p w14:paraId="2487192A" w14:textId="4788E2E1" w:rsidR="00214025" w:rsidRDefault="00214025" w:rsidP="00214025">
      <w:pPr>
        <w:pStyle w:val="Heading1"/>
        <w:rPr>
          <w:color w:val="000000"/>
        </w:rPr>
      </w:pPr>
      <w:bookmarkStart w:id="2" w:name="_Hlk510480883"/>
      <w:r>
        <w:rPr>
          <w:color w:val="000000"/>
        </w:rPr>
        <w:t>3.1</w:t>
      </w:r>
      <w:r w:rsidRPr="00A51522">
        <w:rPr>
          <w:color w:val="000000"/>
        </w:rPr>
        <w:tab/>
      </w:r>
      <w:r>
        <w:rPr>
          <w:color w:val="000000"/>
        </w:rPr>
        <w:t>DCI format sizes with C-RNTI</w:t>
      </w:r>
      <w:bookmarkEnd w:id="2"/>
    </w:p>
    <w:p w14:paraId="7EF9B38E" w14:textId="0EAB4879" w:rsidR="00AA138C" w:rsidRDefault="001823CD" w:rsidP="00E851FF">
      <w:r>
        <w:t xml:space="preserve">In a typical configuration, </w:t>
      </w:r>
      <w:r w:rsidR="001F475D">
        <w:t xml:space="preserve">a UE needs to monitor </w:t>
      </w:r>
      <w:r>
        <w:t>the non-f</w:t>
      </w:r>
      <w:r w:rsidR="001F475D">
        <w:t>allback DCI formats 0_1 and 1_1, which account for 2 different DCI sizes scrambled by C-RNTI according to the agreement. In addition, a UE typically needs to also monitor the fallback DCI formats 0_0 and 1_0</w:t>
      </w:r>
      <w:r w:rsidR="00D47539">
        <w:t>.</w:t>
      </w:r>
      <w:r w:rsidR="00EA7E96">
        <w:t xml:space="preserve"> This case is our primary interest, and we want to make sure </w:t>
      </w:r>
      <w:r w:rsidR="00F82E00">
        <w:t>the system works well for this case.</w:t>
      </w:r>
    </w:p>
    <w:p w14:paraId="33A668F5" w14:textId="49546B89" w:rsidR="00F82E00" w:rsidRDefault="00AA138C" w:rsidP="00E851FF">
      <w:r>
        <w:t xml:space="preserve">With the revised working </w:t>
      </w:r>
      <w:r w:rsidRPr="00B8404A">
        <w:t xml:space="preserve">assumption, </w:t>
      </w:r>
      <w:r w:rsidR="0049611C" w:rsidRPr="00B8404A">
        <w:t xml:space="preserve">if the active </w:t>
      </w:r>
      <w:r w:rsidR="00234E80" w:rsidRPr="00B8404A">
        <w:t xml:space="preserve">DL </w:t>
      </w:r>
      <w:r w:rsidR="0049611C" w:rsidRPr="00B8404A">
        <w:t xml:space="preserve">BWP </w:t>
      </w:r>
      <w:r w:rsidR="005D1B4D" w:rsidRPr="00B8404A">
        <w:t>and</w:t>
      </w:r>
      <w:r w:rsidR="0049611C" w:rsidRPr="00B8404A">
        <w:t xml:space="preserve"> the initial</w:t>
      </w:r>
      <w:r w:rsidR="00234E80" w:rsidRPr="00B8404A">
        <w:t xml:space="preserve"> DL</w:t>
      </w:r>
      <w:r w:rsidR="0049611C" w:rsidRPr="00B8404A">
        <w:t xml:space="preserve"> BWP</w:t>
      </w:r>
      <w:r w:rsidR="005D1B4D" w:rsidRPr="00B8404A">
        <w:t xml:space="preserve"> result in different DCI sizes for formats 0_0/1_0</w:t>
      </w:r>
      <w:r w:rsidR="0049611C" w:rsidRPr="00B8404A">
        <w:t>,</w:t>
      </w:r>
      <w:r w:rsidR="0049611C">
        <w:t xml:space="preserve"> </w:t>
      </w:r>
      <w:r w:rsidR="00EA7E96">
        <w:t xml:space="preserve">and </w:t>
      </w:r>
      <w:r w:rsidR="00BE4C6E">
        <w:t>if DCI formats 0_</w:t>
      </w:r>
      <w:r w:rsidR="005D1B4D">
        <w:t>0/</w:t>
      </w:r>
      <w:r w:rsidR="00BE4C6E">
        <w:t>1_</w:t>
      </w:r>
      <w:r w:rsidR="005D1B4D">
        <w:t>0</w:t>
      </w:r>
      <w:r w:rsidR="00BE4C6E">
        <w:t xml:space="preserve"> are configured in </w:t>
      </w:r>
      <w:r w:rsidR="00E44318">
        <w:t xml:space="preserve">both </w:t>
      </w:r>
      <w:r w:rsidR="00BE4C6E">
        <w:t>CSS</w:t>
      </w:r>
      <w:r w:rsidR="00E44318">
        <w:t xml:space="preserve"> and USS</w:t>
      </w:r>
      <w:r w:rsidR="00BE4C6E">
        <w:t xml:space="preserve">, </w:t>
      </w:r>
      <w:r w:rsidR="00505F55">
        <w:t xml:space="preserve">the UE would need to monitor </w:t>
      </w:r>
      <w:r w:rsidR="00616A45">
        <w:t>a total of 4</w:t>
      </w:r>
      <w:r w:rsidR="00505F55">
        <w:t xml:space="preserve"> DCI sizes </w:t>
      </w:r>
      <w:r w:rsidR="000C7E0F">
        <w:t>scrambled by</w:t>
      </w:r>
      <w:r w:rsidR="00505F55">
        <w:t xml:space="preserve"> C-RNTI</w:t>
      </w:r>
      <w:r w:rsidR="00F82E00">
        <w:t>. This would conflict with</w:t>
      </w:r>
      <w:r w:rsidR="002A6DEA">
        <w:t xml:space="preserve"> the working assumption that at most 3 different DCI sizes </w:t>
      </w:r>
      <w:r w:rsidR="000C7E0F">
        <w:t>scrambled by</w:t>
      </w:r>
      <w:r w:rsidR="004C7B14">
        <w:t xml:space="preserve"> C-RNTI are monitored</w:t>
      </w:r>
      <w:r w:rsidR="00F82E00">
        <w:t>.</w:t>
      </w:r>
      <w:r w:rsidR="00006E0D">
        <w:t xml:space="preserve"> (In all other case, the limit of 3 DCI size with C-RNTI can be met, so those cases are not discussed here.)</w:t>
      </w:r>
    </w:p>
    <w:p w14:paraId="4575EA04" w14:textId="68BB68A2" w:rsidR="00AC6C48" w:rsidRDefault="00F82E00" w:rsidP="00E851FF">
      <w:bookmarkStart w:id="3" w:name="_Hlk510423063"/>
      <w:r>
        <w:t xml:space="preserve">There are a few possible </w:t>
      </w:r>
      <w:r w:rsidR="0034427C">
        <w:t>options</w:t>
      </w:r>
      <w:r>
        <w:t xml:space="preserve"> to address </w:t>
      </w:r>
      <w:r w:rsidR="00AC6C48">
        <w:t>this:</w:t>
      </w:r>
    </w:p>
    <w:p w14:paraId="494917A8" w14:textId="681143A8" w:rsidR="000C7E0F" w:rsidRPr="00A963A1" w:rsidRDefault="00F15EDD" w:rsidP="00AC6C48">
      <w:pPr>
        <w:pStyle w:val="ListParagraph"/>
        <w:numPr>
          <w:ilvl w:val="0"/>
          <w:numId w:val="22"/>
        </w:numPr>
        <w:rPr>
          <w:sz w:val="20"/>
          <w:szCs w:val="20"/>
          <w:lang w:val="en-US"/>
        </w:rPr>
      </w:pPr>
      <w:r>
        <w:rPr>
          <w:sz w:val="20"/>
          <w:szCs w:val="20"/>
          <w:lang w:val="en-GB"/>
        </w:rPr>
        <w:t>Option</w:t>
      </w:r>
      <w:r w:rsidR="00616A45">
        <w:rPr>
          <w:sz w:val="20"/>
          <w:szCs w:val="20"/>
          <w:lang w:val="en-GB"/>
        </w:rPr>
        <w:t xml:space="preserve"> </w:t>
      </w:r>
      <w:r>
        <w:rPr>
          <w:sz w:val="20"/>
          <w:szCs w:val="20"/>
          <w:lang w:val="en-GB"/>
        </w:rPr>
        <w:t xml:space="preserve">1: </w:t>
      </w:r>
      <w:r w:rsidR="00AC6C48" w:rsidRPr="0034427C">
        <w:rPr>
          <w:sz w:val="20"/>
          <w:szCs w:val="20"/>
          <w:lang w:val="en-GB"/>
        </w:rPr>
        <w:t xml:space="preserve">Revert the working assumption and require a UE to monitor up to 4 DCI sizes </w:t>
      </w:r>
      <w:r w:rsidR="00CC3D68" w:rsidRPr="0034427C">
        <w:rPr>
          <w:sz w:val="20"/>
          <w:szCs w:val="20"/>
          <w:lang w:val="en-GB"/>
        </w:rPr>
        <w:t>with</w:t>
      </w:r>
      <w:r w:rsidR="00AC6C48" w:rsidRPr="0034427C">
        <w:rPr>
          <w:sz w:val="20"/>
          <w:szCs w:val="20"/>
          <w:lang w:val="en-GB"/>
        </w:rPr>
        <w:t xml:space="preserve"> C-RNTI</w:t>
      </w:r>
      <w:r w:rsidR="000C7E0F" w:rsidRPr="0034427C">
        <w:rPr>
          <w:sz w:val="20"/>
          <w:szCs w:val="20"/>
          <w:lang w:val="en-GB"/>
        </w:rPr>
        <w:t>.</w:t>
      </w:r>
    </w:p>
    <w:p w14:paraId="100E8CC1" w14:textId="34AB4C18" w:rsidR="00FE486E" w:rsidRPr="00A963A1" w:rsidRDefault="00F15EDD" w:rsidP="007F15F6">
      <w:pPr>
        <w:pStyle w:val="ListParagraph"/>
        <w:numPr>
          <w:ilvl w:val="0"/>
          <w:numId w:val="22"/>
        </w:numPr>
        <w:rPr>
          <w:sz w:val="20"/>
          <w:szCs w:val="20"/>
          <w:lang w:val="en-US"/>
        </w:rPr>
      </w:pPr>
      <w:r>
        <w:rPr>
          <w:sz w:val="20"/>
          <w:szCs w:val="20"/>
          <w:lang w:val="en-US"/>
        </w:rPr>
        <w:lastRenderedPageBreak/>
        <w:t xml:space="preserve">Option 2: </w:t>
      </w:r>
      <w:r w:rsidR="00FE486E" w:rsidRPr="00A963A1">
        <w:rPr>
          <w:sz w:val="20"/>
          <w:szCs w:val="20"/>
          <w:lang w:val="en-US"/>
        </w:rPr>
        <w:t xml:space="preserve">Do not allow format 0_0/1_0 with C-RNTI to be configured in both CSS and USS when </w:t>
      </w:r>
      <w:r w:rsidR="007F15F6" w:rsidRPr="00A963A1">
        <w:rPr>
          <w:sz w:val="20"/>
          <w:szCs w:val="20"/>
          <w:lang w:val="en-US"/>
        </w:rPr>
        <w:t>the active DL BWP and the initial DL BWP result in different DCI sizes for formats 0_0/1_0</w:t>
      </w:r>
      <w:r w:rsidR="00FE486E" w:rsidRPr="00A963A1">
        <w:rPr>
          <w:sz w:val="20"/>
          <w:szCs w:val="20"/>
          <w:lang w:val="en-US"/>
        </w:rPr>
        <w:t>. The size of format 0_0/1_0 in USS is always given by the active DL BWP.</w:t>
      </w:r>
    </w:p>
    <w:p w14:paraId="01EB71DC" w14:textId="6E084299" w:rsidR="00FE2371" w:rsidRPr="00A963A1" w:rsidRDefault="00F15EDD" w:rsidP="00B5062B">
      <w:pPr>
        <w:pStyle w:val="ListParagraph"/>
        <w:numPr>
          <w:ilvl w:val="0"/>
          <w:numId w:val="22"/>
        </w:numPr>
        <w:rPr>
          <w:sz w:val="20"/>
          <w:szCs w:val="20"/>
          <w:lang w:val="en-US"/>
        </w:rPr>
      </w:pPr>
      <w:r>
        <w:rPr>
          <w:sz w:val="20"/>
          <w:szCs w:val="20"/>
          <w:lang w:val="en-US"/>
        </w:rPr>
        <w:t xml:space="preserve">Option 3: </w:t>
      </w:r>
      <w:r w:rsidR="00FE2371" w:rsidRPr="00A963A1">
        <w:rPr>
          <w:sz w:val="20"/>
          <w:szCs w:val="20"/>
          <w:lang w:val="en-US"/>
        </w:rPr>
        <w:t>If format 0_0/1_0 with C-RNTI is configured in both CSS and USS</w:t>
      </w:r>
      <w:r w:rsidR="00916B0B" w:rsidRPr="00A963A1">
        <w:rPr>
          <w:sz w:val="20"/>
          <w:szCs w:val="20"/>
          <w:lang w:val="en-US"/>
        </w:rPr>
        <w:t>, and</w:t>
      </w:r>
      <w:r w:rsidR="00FE2371" w:rsidRPr="00A963A1">
        <w:rPr>
          <w:sz w:val="20"/>
          <w:szCs w:val="20"/>
          <w:lang w:val="en-US"/>
        </w:rPr>
        <w:t xml:space="preserve"> </w:t>
      </w:r>
      <w:r w:rsidR="00B5062B" w:rsidRPr="00A963A1">
        <w:rPr>
          <w:sz w:val="20"/>
          <w:szCs w:val="20"/>
          <w:lang w:val="en-US"/>
        </w:rPr>
        <w:t>the active DL BWP and the initial DL BWP result in different DCI sizes for formats 0_0/1_0</w:t>
      </w:r>
      <w:r w:rsidR="00FE2371" w:rsidRPr="00A963A1">
        <w:rPr>
          <w:sz w:val="20"/>
          <w:szCs w:val="20"/>
          <w:lang w:val="en-US"/>
        </w:rPr>
        <w:t>,</w:t>
      </w:r>
    </w:p>
    <w:p w14:paraId="407BBA59" w14:textId="0F95C170" w:rsidR="00FE2371" w:rsidRPr="00A963A1" w:rsidRDefault="00FE2371" w:rsidP="00FE2371">
      <w:pPr>
        <w:pStyle w:val="ListParagraph"/>
        <w:numPr>
          <w:ilvl w:val="1"/>
          <w:numId w:val="22"/>
        </w:numPr>
        <w:rPr>
          <w:sz w:val="20"/>
          <w:szCs w:val="20"/>
          <w:lang w:val="en-US"/>
        </w:rPr>
      </w:pPr>
      <w:r w:rsidRPr="00A963A1">
        <w:rPr>
          <w:sz w:val="20"/>
          <w:szCs w:val="20"/>
          <w:lang w:val="en-US"/>
        </w:rPr>
        <w:t xml:space="preserve">The size of format 0_0/1_0 </w:t>
      </w:r>
      <w:r w:rsidR="00806905" w:rsidRPr="00A963A1">
        <w:rPr>
          <w:sz w:val="20"/>
          <w:szCs w:val="20"/>
          <w:lang w:val="en-US"/>
        </w:rPr>
        <w:t xml:space="preserve">with C-RNTI </w:t>
      </w:r>
      <w:r w:rsidR="00592788" w:rsidRPr="00A963A1">
        <w:rPr>
          <w:sz w:val="20"/>
          <w:szCs w:val="20"/>
          <w:lang w:val="en-US"/>
        </w:rPr>
        <w:t xml:space="preserve">in both USS and CSS </w:t>
      </w:r>
      <w:r w:rsidRPr="00A963A1">
        <w:rPr>
          <w:sz w:val="20"/>
          <w:szCs w:val="20"/>
          <w:lang w:val="en-US"/>
        </w:rPr>
        <w:t>is given by the initial DL BWP.</w:t>
      </w:r>
    </w:p>
    <w:p w14:paraId="2A404A48" w14:textId="085E4E4E" w:rsidR="00D90E1E" w:rsidRPr="00A963A1" w:rsidRDefault="00D90E1E" w:rsidP="00D90E1E">
      <w:pPr>
        <w:pStyle w:val="ListParagraph"/>
        <w:numPr>
          <w:ilvl w:val="1"/>
          <w:numId w:val="22"/>
        </w:numPr>
        <w:rPr>
          <w:sz w:val="20"/>
          <w:szCs w:val="20"/>
          <w:lang w:val="en-US"/>
        </w:rPr>
      </w:pPr>
      <w:r w:rsidRPr="00A963A1">
        <w:rPr>
          <w:sz w:val="20"/>
          <w:szCs w:val="20"/>
          <w:lang w:val="en-US"/>
        </w:rPr>
        <w:t>The size of format 0_0/1_0</w:t>
      </w:r>
      <w:r w:rsidR="008D3A8C" w:rsidRPr="00A963A1">
        <w:rPr>
          <w:sz w:val="20"/>
          <w:szCs w:val="20"/>
          <w:lang w:val="en-US"/>
        </w:rPr>
        <w:t xml:space="preserve"> with C-RNTI</w:t>
      </w:r>
      <w:r w:rsidR="00592788" w:rsidRPr="00A963A1">
        <w:rPr>
          <w:sz w:val="20"/>
          <w:szCs w:val="20"/>
          <w:lang w:val="en-US"/>
        </w:rPr>
        <w:t xml:space="preserve"> in both USS and CSS</w:t>
      </w:r>
      <w:r w:rsidRPr="00A963A1">
        <w:rPr>
          <w:sz w:val="20"/>
          <w:szCs w:val="20"/>
          <w:lang w:val="en-US"/>
        </w:rPr>
        <w:t xml:space="preserve"> is given by the active</w:t>
      </w:r>
      <w:r w:rsidR="00666460" w:rsidRPr="00A963A1">
        <w:rPr>
          <w:sz w:val="20"/>
          <w:szCs w:val="20"/>
          <w:lang w:val="en-US"/>
        </w:rPr>
        <w:t xml:space="preserve"> DL BWP</w:t>
      </w:r>
      <w:r w:rsidR="00E37A0F" w:rsidRPr="00A963A1">
        <w:rPr>
          <w:sz w:val="20"/>
          <w:szCs w:val="20"/>
          <w:lang w:val="en-US"/>
        </w:rPr>
        <w:t xml:space="preserve"> (</w:t>
      </w:r>
      <w:r w:rsidR="0034689B" w:rsidRPr="00A963A1">
        <w:rPr>
          <w:sz w:val="20"/>
          <w:szCs w:val="20"/>
          <w:lang w:val="en-US"/>
        </w:rPr>
        <w:t xml:space="preserve">partly </w:t>
      </w:r>
      <w:r w:rsidR="00E37A0F" w:rsidRPr="00A963A1">
        <w:rPr>
          <w:sz w:val="20"/>
          <w:szCs w:val="20"/>
          <w:lang w:val="en-US"/>
        </w:rPr>
        <w:t>reverting the previous working assumption)</w:t>
      </w:r>
      <w:r w:rsidR="00666460" w:rsidRPr="00A963A1">
        <w:rPr>
          <w:sz w:val="20"/>
          <w:szCs w:val="20"/>
          <w:lang w:val="en-US"/>
        </w:rPr>
        <w:t>.</w:t>
      </w:r>
    </w:p>
    <w:p w14:paraId="65A8AF5D" w14:textId="3F238619" w:rsidR="00FE2371" w:rsidRPr="00A963A1" w:rsidRDefault="00FE2371" w:rsidP="00FE2371">
      <w:pPr>
        <w:pStyle w:val="ListParagraph"/>
        <w:numPr>
          <w:ilvl w:val="1"/>
          <w:numId w:val="22"/>
        </w:numPr>
        <w:rPr>
          <w:sz w:val="20"/>
          <w:szCs w:val="20"/>
          <w:lang w:val="en-US"/>
        </w:rPr>
      </w:pPr>
      <w:r w:rsidRPr="00A963A1">
        <w:rPr>
          <w:sz w:val="20"/>
          <w:szCs w:val="20"/>
          <w:lang w:val="en-US"/>
        </w:rPr>
        <w:t xml:space="preserve">Align the sizes of </w:t>
      </w:r>
      <w:r w:rsidR="001D63A6" w:rsidRPr="00A963A1">
        <w:rPr>
          <w:sz w:val="20"/>
          <w:szCs w:val="20"/>
          <w:lang w:val="en-US"/>
        </w:rPr>
        <w:t>formats 0_1 and 1_1 (</w:t>
      </w:r>
      <w:r w:rsidR="0034689B" w:rsidRPr="00A963A1">
        <w:rPr>
          <w:sz w:val="20"/>
          <w:szCs w:val="20"/>
          <w:lang w:val="en-US"/>
        </w:rPr>
        <w:t xml:space="preserve">partly </w:t>
      </w:r>
      <w:r w:rsidR="001D63A6" w:rsidRPr="00A963A1">
        <w:rPr>
          <w:sz w:val="20"/>
          <w:szCs w:val="20"/>
          <w:lang w:val="en-US"/>
        </w:rPr>
        <w:t>reverting the previous working assumption).</w:t>
      </w:r>
    </w:p>
    <w:bookmarkEnd w:id="3"/>
    <w:p w14:paraId="251A92EE" w14:textId="0F4649DE" w:rsidR="0034427C" w:rsidRPr="00A963A1" w:rsidRDefault="0034427C" w:rsidP="0034427C">
      <w:pPr>
        <w:rPr>
          <w:lang w:val="en-US"/>
        </w:rPr>
      </w:pPr>
    </w:p>
    <w:p w14:paraId="168C8525" w14:textId="6E19E783" w:rsidR="008F6355" w:rsidRPr="00A963A1" w:rsidRDefault="008F6355" w:rsidP="0034427C">
      <w:pPr>
        <w:rPr>
          <w:lang w:val="en-US"/>
        </w:rPr>
      </w:pPr>
      <w:r w:rsidRPr="00A963A1">
        <w:rPr>
          <w:lang w:val="en-US"/>
        </w:rPr>
        <w:t>Generally speaking, it i</w:t>
      </w:r>
      <w:r w:rsidR="004F6F4B" w:rsidRPr="00A963A1">
        <w:rPr>
          <w:lang w:val="en-US"/>
        </w:rPr>
        <w:t xml:space="preserve">s highly desirable to allow as much flexibility as possible in frequency resource allocation for formats 0_0/1_0, </w:t>
      </w:r>
      <w:r w:rsidR="0033669A" w:rsidRPr="00A963A1">
        <w:rPr>
          <w:lang w:val="en-US"/>
        </w:rPr>
        <w:t>at least</w:t>
      </w:r>
      <w:r w:rsidR="004F6F4B" w:rsidRPr="00A963A1">
        <w:rPr>
          <w:lang w:val="en-US"/>
        </w:rPr>
        <w:t xml:space="preserve"> for unicast data scheduling.</w:t>
      </w:r>
      <w:r w:rsidR="0033669A" w:rsidRPr="00A963A1">
        <w:rPr>
          <w:lang w:val="en-US"/>
        </w:rPr>
        <w:t xml:space="preserve"> There can be times when the gNB wants to use the shorter formats 0_0/1_0 for data scheduling, e.g. for small data packets</w:t>
      </w:r>
      <w:r w:rsidR="008B74DB" w:rsidRPr="00A963A1">
        <w:rPr>
          <w:lang w:val="en-US"/>
        </w:rPr>
        <w:t xml:space="preserve">, or when accurate/comprehensive CSI feedback information is not available, etc. In this sense, the </w:t>
      </w:r>
      <w:r w:rsidR="008B74DB" w:rsidRPr="00C47290">
        <w:rPr>
          <w:i/>
          <w:lang w:val="en-US"/>
        </w:rPr>
        <w:t>2nd approach</w:t>
      </w:r>
      <w:r w:rsidR="008B74DB" w:rsidRPr="00A963A1">
        <w:rPr>
          <w:lang w:val="en-US"/>
        </w:rPr>
        <w:t xml:space="preserve"> discussed in Section 2 would not be sufficient</w:t>
      </w:r>
      <w:r w:rsidR="000E07EC" w:rsidRPr="00A963A1">
        <w:rPr>
          <w:lang w:val="en-US"/>
        </w:rPr>
        <w:t xml:space="preserve"> for unicast data</w:t>
      </w:r>
      <w:r w:rsidR="00F6741E" w:rsidRPr="00A963A1">
        <w:rPr>
          <w:lang w:val="en-US"/>
        </w:rPr>
        <w:t>.</w:t>
      </w:r>
      <w:r w:rsidR="00A87765" w:rsidRPr="00A963A1">
        <w:rPr>
          <w:lang w:val="en-US"/>
        </w:rPr>
        <w:t xml:space="preserve"> </w:t>
      </w:r>
      <w:r w:rsidR="00F6741E" w:rsidRPr="00A963A1">
        <w:rPr>
          <w:lang w:val="en-US"/>
        </w:rPr>
        <w:t>T</w:t>
      </w:r>
      <w:r w:rsidR="00A87765" w:rsidRPr="00A963A1">
        <w:rPr>
          <w:lang w:val="en-US"/>
        </w:rPr>
        <w:t xml:space="preserve">he </w:t>
      </w:r>
      <w:r w:rsidR="00A87765" w:rsidRPr="00C47290">
        <w:rPr>
          <w:i/>
          <w:lang w:val="en-US"/>
        </w:rPr>
        <w:t>3rd apprach</w:t>
      </w:r>
      <w:r w:rsidR="00A87765" w:rsidRPr="00A963A1">
        <w:rPr>
          <w:lang w:val="en-US"/>
        </w:rPr>
        <w:t xml:space="preserve"> mig</w:t>
      </w:r>
      <w:r w:rsidR="00563E5B" w:rsidRPr="00A963A1">
        <w:rPr>
          <w:lang w:val="en-US"/>
        </w:rPr>
        <w:t>ht be acceptable</w:t>
      </w:r>
      <w:r w:rsidR="00F6741E" w:rsidRPr="00A963A1">
        <w:rPr>
          <w:lang w:val="en-US"/>
        </w:rPr>
        <w:t>,</w:t>
      </w:r>
      <w:r w:rsidR="001D43C5" w:rsidRPr="00A963A1">
        <w:rPr>
          <w:lang w:val="en-US"/>
        </w:rPr>
        <w:t xml:space="preserve"> but it still does not achieve the full flexibility. E.g. if the initial BWP is ~5MHz, and the wide BWP is ~100MHz, the ratio is around 20, which means the </w:t>
      </w:r>
      <w:r w:rsidR="00A53507" w:rsidRPr="00A963A1">
        <w:rPr>
          <w:lang w:val="en-US"/>
        </w:rPr>
        <w:t xml:space="preserve">scheduling granularity would be 20 PRBs which is quite excessive. Therefore it is preferable to </w:t>
      </w:r>
      <w:r w:rsidR="00DD317A" w:rsidRPr="00A963A1">
        <w:rPr>
          <w:lang w:val="en-US"/>
        </w:rPr>
        <w:t xml:space="preserve">always be able to </w:t>
      </w:r>
      <w:r w:rsidR="00A53507" w:rsidRPr="00A963A1">
        <w:rPr>
          <w:lang w:val="en-US"/>
        </w:rPr>
        <w:t>support a case</w:t>
      </w:r>
      <w:r w:rsidR="00DD317A" w:rsidRPr="00A963A1">
        <w:rPr>
          <w:lang w:val="en-US"/>
        </w:rPr>
        <w:t xml:space="preserve"> with DCI size determined by the active </w:t>
      </w:r>
      <w:r w:rsidR="00F15EDD">
        <w:rPr>
          <w:lang w:val="en-US"/>
        </w:rPr>
        <w:t>D</w:t>
      </w:r>
      <w:r w:rsidR="00F15EDD" w:rsidRPr="00A963A1">
        <w:rPr>
          <w:lang w:val="en-US"/>
        </w:rPr>
        <w:t xml:space="preserve">L </w:t>
      </w:r>
      <w:r w:rsidR="00DD317A" w:rsidRPr="00A963A1">
        <w:rPr>
          <w:lang w:val="en-US"/>
        </w:rPr>
        <w:t>BWP</w:t>
      </w:r>
      <w:r w:rsidR="00D353D9" w:rsidRPr="00A963A1">
        <w:rPr>
          <w:lang w:val="en-US"/>
        </w:rPr>
        <w:t xml:space="preserve"> that allows full scheduling flexibility, e.g. in USS.</w:t>
      </w:r>
    </w:p>
    <w:p w14:paraId="2B058C51" w14:textId="1B9CD3C0" w:rsidR="0034427C" w:rsidRDefault="0034427C" w:rsidP="0034427C">
      <w:r w:rsidRPr="00563E5B">
        <w:rPr>
          <w:b/>
          <w:u w:val="single"/>
        </w:rPr>
        <w:t>Option 1</w:t>
      </w:r>
      <w:r>
        <w:t xml:space="preserve"> is the easiest from the specification point of view, and it provides </w:t>
      </w:r>
      <w:r w:rsidR="00E32677">
        <w:t xml:space="preserve">the most flexibility in configuration/operation. But it </w:t>
      </w:r>
      <w:r w:rsidR="00F403D5">
        <w:t>causes somewhat</w:t>
      </w:r>
      <w:r w:rsidR="00E32677">
        <w:t xml:space="preserve"> more complexity at the UE.</w:t>
      </w:r>
      <w:r w:rsidR="00C93852">
        <w:t xml:space="preserve"> Note that this option does not require the increase of the total number of DCI sizes. So instead of supporting 3 C-RNTI-based DCI sizes plus one </w:t>
      </w:r>
      <w:r w:rsidR="002C42B3">
        <w:t>other RNTI-based DCI size, the UE would support 4 DCI sizes regardless of the RNTI.</w:t>
      </w:r>
    </w:p>
    <w:p w14:paraId="17A2456E" w14:textId="175931D5" w:rsidR="00090739" w:rsidRDefault="00482603" w:rsidP="00090739">
      <w:r w:rsidRPr="00563E5B">
        <w:rPr>
          <w:b/>
          <w:u w:val="single"/>
        </w:rPr>
        <w:t>Option 2</w:t>
      </w:r>
      <w:r w:rsidR="00090739">
        <w:t xml:space="preserve"> is a constraint on the configuration. </w:t>
      </w:r>
      <w:r w:rsidR="00592788">
        <w:t>In case of multiple BWPs, a more typical configuration would be netsted BWPs</w:t>
      </w:r>
      <w:r w:rsidR="00152F8E">
        <w:t>. In this case, it would be desirable to configure format 0_0/1_0</w:t>
      </w:r>
      <w:r w:rsidR="00457E06">
        <w:t xml:space="preserve"> with C-RNTI</w:t>
      </w:r>
      <w:r w:rsidR="00152F8E">
        <w:t xml:space="preserve"> in CSS to handle the ambiguity in case of BWP switching</w:t>
      </w:r>
      <w:r w:rsidR="00DA3446">
        <w:t xml:space="preserve"> failure</w:t>
      </w:r>
      <w:r w:rsidR="00152F8E">
        <w:t>.</w:t>
      </w:r>
      <w:r w:rsidR="0050639A">
        <w:t xml:space="preserve"> At the same time</w:t>
      </w:r>
      <w:r w:rsidR="00E40B7F">
        <w:t xml:space="preserve">, </w:t>
      </w:r>
      <w:r w:rsidR="0050639A">
        <w:t xml:space="preserve">if the gNB wants to use these formats frequently for data scheduling, </w:t>
      </w:r>
      <w:r w:rsidR="00E40B7F">
        <w:t xml:space="preserve">it is also desirable to configure format 0_0/1_0 in USS to </w:t>
      </w:r>
      <w:r w:rsidR="0050639A">
        <w:t xml:space="preserve">either </w:t>
      </w:r>
      <w:r w:rsidR="00E40B7F">
        <w:t xml:space="preserve">allow the </w:t>
      </w:r>
      <w:r w:rsidR="0050639A">
        <w:t>more</w:t>
      </w:r>
      <w:r w:rsidR="00E40B7F">
        <w:t xml:space="preserve"> flexibility in frequency resource allocation</w:t>
      </w:r>
      <w:r w:rsidR="0050639A">
        <w:t>, or to avoid the potential blocking issue in CSS</w:t>
      </w:r>
      <w:r w:rsidR="00E40B7F">
        <w:t>.</w:t>
      </w:r>
      <w:r w:rsidR="00BE1CE5">
        <w:t xml:space="preserve"> Therefore it is preferred not to have such a hard constraint.</w:t>
      </w:r>
    </w:p>
    <w:p w14:paraId="1B94EDB7" w14:textId="712AF3A8" w:rsidR="00E32677" w:rsidRDefault="00A87765" w:rsidP="0034427C">
      <w:r>
        <w:t xml:space="preserve">The family of option 3 do not have any constraint on configuration. They reduce the number of DCI sizes by aligning some of them. </w:t>
      </w:r>
      <w:r w:rsidR="002F54B1">
        <w:t xml:space="preserve">For </w:t>
      </w:r>
      <w:r w:rsidR="002F54B1" w:rsidRPr="002F54B1">
        <w:rPr>
          <w:b/>
          <w:u w:val="single"/>
        </w:rPr>
        <w:t>option 3</w:t>
      </w:r>
      <w:r w:rsidR="009B1743" w:rsidRPr="002F54B1">
        <w:rPr>
          <w:b/>
          <w:u w:val="single"/>
        </w:rPr>
        <w:t>a</w:t>
      </w:r>
      <w:r w:rsidR="009B1743">
        <w:t xml:space="preserve">, the main drawback is that </w:t>
      </w:r>
      <w:r w:rsidR="00FC6615">
        <w:t xml:space="preserve">the </w:t>
      </w:r>
      <w:r w:rsidR="00016B78">
        <w:t xml:space="preserve">frequency </w:t>
      </w:r>
      <w:r w:rsidR="00FC6615">
        <w:t xml:space="preserve">resource allocation is restricted when the size is determined by the initial DL BWP (as discussed in Section </w:t>
      </w:r>
      <w:r w:rsidR="002F54B1" w:rsidRPr="002F54B1">
        <w:t>2</w:t>
      </w:r>
      <w:r w:rsidR="00FC6615">
        <w:t>)</w:t>
      </w:r>
      <w:r w:rsidR="00016B78">
        <w:t>. This would greatly affect the usefulness of the fallback DCIs</w:t>
      </w:r>
      <w:r w:rsidR="00102C5A">
        <w:t xml:space="preserve">. </w:t>
      </w:r>
      <w:r w:rsidR="00573853">
        <w:t>As explained above, this is not a preferred option.</w:t>
      </w:r>
    </w:p>
    <w:p w14:paraId="17D27489" w14:textId="0AA9A7F1" w:rsidR="00FC5E90" w:rsidRDefault="00FC5E90" w:rsidP="0034427C">
      <w:r>
        <w:t xml:space="preserve">For </w:t>
      </w:r>
      <w:r w:rsidRPr="00C47290">
        <w:rPr>
          <w:b/>
          <w:u w:val="single"/>
        </w:rPr>
        <w:t>option 3b</w:t>
      </w:r>
      <w:r>
        <w:t xml:space="preserve">, </w:t>
      </w:r>
      <w:r w:rsidR="008A2C70">
        <w:t xml:space="preserve">the merit is that </w:t>
      </w:r>
      <w:r w:rsidR="00921E69">
        <w:t>format 0_0/1_0 with C-RNTI always has the full scheduling flexibility, regardless of whether it is in USS or CSS.</w:t>
      </w:r>
      <w:r w:rsidR="0096011C">
        <w:t xml:space="preserve"> The drawback </w:t>
      </w:r>
      <w:r w:rsidR="00DA08DE">
        <w:t>is</w:t>
      </w:r>
      <w:r w:rsidR="0096011C">
        <w:t xml:space="preserve"> that </w:t>
      </w:r>
      <w:r w:rsidR="00DA08DE">
        <w:t>format 0_0/1_0 in CSS would have two different sizes, depending on whether it is scrambled by C-RNTI or other RNTIs.</w:t>
      </w:r>
      <w:r w:rsidR="000E0FB7">
        <w:t xml:space="preserve"> This means more blind decoding </w:t>
      </w:r>
      <w:r w:rsidR="00F15F6B">
        <w:t xml:space="preserve">candidates </w:t>
      </w:r>
      <w:r w:rsidR="000E0FB7">
        <w:t>in CSS.</w:t>
      </w:r>
    </w:p>
    <w:p w14:paraId="08D3F60D" w14:textId="0B810816" w:rsidR="009D6A89" w:rsidRDefault="001A1E08" w:rsidP="0034427C">
      <w:r>
        <w:t xml:space="preserve">For </w:t>
      </w:r>
      <w:r w:rsidRPr="003428D2">
        <w:rPr>
          <w:b/>
          <w:u w:val="single"/>
        </w:rPr>
        <w:t>o</w:t>
      </w:r>
      <w:r w:rsidR="003428D2" w:rsidRPr="003428D2">
        <w:rPr>
          <w:b/>
          <w:u w:val="single"/>
        </w:rPr>
        <w:t>ption 3c</w:t>
      </w:r>
      <w:r w:rsidR="00D361F0">
        <w:t xml:space="preserve">, aligning the size of format 0_1 and 1_1 would mean additional padding in one of the formats. </w:t>
      </w:r>
      <w:r w:rsidR="005C2785">
        <w:t xml:space="preserve">Because format 1_1 carries some additional fields, it is quite </w:t>
      </w:r>
      <w:r w:rsidR="002E59A0">
        <w:t>typical</w:t>
      </w:r>
      <w:r w:rsidR="005C2785">
        <w:t xml:space="preserve"> that </w:t>
      </w:r>
      <w:r w:rsidR="00D361F0">
        <w:t xml:space="preserve">the size of format 1_1 </w:t>
      </w:r>
      <w:r w:rsidR="005C2785">
        <w:t>would be ~10+ bits more than that of format 0_1.</w:t>
      </w:r>
      <w:r w:rsidR="001D63A6">
        <w:t xml:space="preserve"> </w:t>
      </w:r>
      <w:r w:rsidR="003428D2">
        <w:t xml:space="preserve">E.g. we can have </w:t>
      </w:r>
      <w:r w:rsidR="00107417">
        <w:t>56 bits for format 0_1 and 68 bits for format 0_0</w:t>
      </w:r>
      <w:r w:rsidR="005612FB">
        <w:t xml:space="preserve"> before CRC</w:t>
      </w:r>
      <w:r w:rsidR="00107417">
        <w:t xml:space="preserve">. </w:t>
      </w:r>
      <w:r w:rsidR="005612FB">
        <w:t xml:space="preserve">With 24-bit CRC, </w:t>
      </w:r>
      <w:r w:rsidR="00F85159">
        <w:t>80 vs 92 bits roughly translates into 0.6 dB difference</w:t>
      </w:r>
      <w:r w:rsidR="00C15D65">
        <w:t>,</w:t>
      </w:r>
      <w:r w:rsidR="0091286A">
        <w:t xml:space="preserve"> which is not that significant.</w:t>
      </w:r>
    </w:p>
    <w:p w14:paraId="7338A684" w14:textId="7235E5E7" w:rsidR="00521E23" w:rsidRDefault="00140CEC" w:rsidP="0034427C">
      <w:r>
        <w:t>As a summary, our preference on DCI size with C-RNTI is as follows:</w:t>
      </w:r>
    </w:p>
    <w:p w14:paraId="18C1C29D" w14:textId="59B6026E" w:rsidR="00140CEC" w:rsidRPr="00C47290" w:rsidRDefault="008B704D" w:rsidP="00080544">
      <w:pPr>
        <w:rPr>
          <w:b/>
        </w:rPr>
      </w:pPr>
      <w:r w:rsidRPr="00C47290">
        <w:rPr>
          <w:b/>
        </w:rPr>
        <w:t xml:space="preserve">Proposal 3: </w:t>
      </w:r>
      <w:r w:rsidR="00FD442C" w:rsidRPr="00C47290">
        <w:rPr>
          <w:b/>
        </w:rPr>
        <w:t>One of the following is chosen to address the number fo DCI sizes with C-RNTI:</w:t>
      </w:r>
    </w:p>
    <w:p w14:paraId="571CABCA" w14:textId="350FE4A2" w:rsidR="00FD442C" w:rsidRPr="00C47290" w:rsidRDefault="008B704D" w:rsidP="00080544">
      <w:pPr>
        <w:pStyle w:val="ListParagraph"/>
        <w:numPr>
          <w:ilvl w:val="2"/>
          <w:numId w:val="17"/>
        </w:numPr>
        <w:ind w:left="709" w:hanging="284"/>
        <w:rPr>
          <w:b/>
          <w:sz w:val="20"/>
          <w:szCs w:val="20"/>
          <w:lang w:val="en-US"/>
        </w:rPr>
      </w:pPr>
      <w:r w:rsidRPr="00C47290">
        <w:rPr>
          <w:b/>
          <w:sz w:val="20"/>
          <w:szCs w:val="20"/>
          <w:lang w:val="en-US"/>
        </w:rPr>
        <w:t>1st</w:t>
      </w:r>
      <w:r w:rsidR="00FD442C" w:rsidRPr="00C47290">
        <w:rPr>
          <w:b/>
          <w:sz w:val="20"/>
          <w:szCs w:val="20"/>
          <w:lang w:val="en-US"/>
        </w:rPr>
        <w:t xml:space="preserve"> preference: </w:t>
      </w:r>
      <w:r w:rsidR="00155B98" w:rsidRPr="00C47290">
        <w:rPr>
          <w:b/>
          <w:sz w:val="20"/>
          <w:szCs w:val="20"/>
          <w:lang w:val="en-US"/>
        </w:rPr>
        <w:t xml:space="preserve">a UE monitors up to 4 DCI sizes </w:t>
      </w:r>
      <w:r w:rsidR="002C42B3">
        <w:rPr>
          <w:b/>
          <w:sz w:val="20"/>
          <w:szCs w:val="20"/>
          <w:lang w:val="en-US"/>
        </w:rPr>
        <w:t xml:space="preserve">regardless of the </w:t>
      </w:r>
      <w:r w:rsidR="00155B98" w:rsidRPr="00C47290">
        <w:rPr>
          <w:b/>
          <w:sz w:val="20"/>
          <w:szCs w:val="20"/>
          <w:lang w:val="en-US"/>
        </w:rPr>
        <w:t xml:space="preserve">RNTI (reverting </w:t>
      </w:r>
      <w:r w:rsidR="00FB3ECF" w:rsidRPr="00C47290">
        <w:rPr>
          <w:b/>
          <w:sz w:val="20"/>
          <w:szCs w:val="20"/>
          <w:lang w:val="en-US"/>
        </w:rPr>
        <w:t>a</w:t>
      </w:r>
      <w:r w:rsidR="00155B98" w:rsidRPr="00C47290">
        <w:rPr>
          <w:b/>
          <w:sz w:val="20"/>
          <w:szCs w:val="20"/>
          <w:lang w:val="en-US"/>
        </w:rPr>
        <w:t xml:space="preserve"> previous working assumption)</w:t>
      </w:r>
    </w:p>
    <w:p w14:paraId="39286E28" w14:textId="1607CAAB" w:rsidR="00155B98" w:rsidRPr="00C47290" w:rsidRDefault="008B704D" w:rsidP="00080544">
      <w:pPr>
        <w:pStyle w:val="ListParagraph"/>
        <w:numPr>
          <w:ilvl w:val="2"/>
          <w:numId w:val="17"/>
        </w:numPr>
        <w:ind w:left="709" w:hanging="284"/>
        <w:rPr>
          <w:b/>
          <w:sz w:val="20"/>
          <w:szCs w:val="20"/>
        </w:rPr>
      </w:pPr>
      <w:r w:rsidRPr="00C47290">
        <w:rPr>
          <w:b/>
          <w:sz w:val="20"/>
          <w:szCs w:val="20"/>
          <w:lang w:val="en-US"/>
        </w:rPr>
        <w:t>2nd preference: Confirm</w:t>
      </w:r>
      <w:r w:rsidR="00155B98" w:rsidRPr="00C47290">
        <w:rPr>
          <w:b/>
          <w:sz w:val="20"/>
          <w:szCs w:val="20"/>
          <w:lang w:val="en-US"/>
        </w:rPr>
        <w:t xml:space="preserve"> t</w:t>
      </w:r>
      <w:r w:rsidR="00B81D9C" w:rsidRPr="00C47290">
        <w:rPr>
          <w:b/>
          <w:sz w:val="20"/>
          <w:szCs w:val="20"/>
          <w:lang w:val="en-US"/>
        </w:rPr>
        <w:t>he existing working assumptions.</w:t>
      </w:r>
      <w:r w:rsidR="00155B98" w:rsidRPr="00C47290">
        <w:rPr>
          <w:b/>
          <w:sz w:val="20"/>
          <w:szCs w:val="20"/>
          <w:lang w:val="en-US"/>
        </w:rPr>
        <w:t xml:space="preserve"> </w:t>
      </w:r>
      <w:r w:rsidR="00B81D9C" w:rsidRPr="00C47290">
        <w:rPr>
          <w:b/>
          <w:sz w:val="20"/>
          <w:szCs w:val="20"/>
          <w:lang w:val="en-US"/>
        </w:rPr>
        <w:t>In case</w:t>
      </w:r>
      <w:r w:rsidR="00155B98" w:rsidRPr="00C47290">
        <w:rPr>
          <w:b/>
          <w:sz w:val="20"/>
          <w:szCs w:val="20"/>
          <w:lang w:val="en-US"/>
        </w:rPr>
        <w:t xml:space="preserve"> format 0_0/1_0 with C-RNTI is configured in both CSS and USS, and the active DL BWP and the initial DL BWP result in different DCI sizes for formats 0_0/1_0</w:t>
      </w:r>
      <w:r w:rsidR="00B81D9C" w:rsidRPr="00C47290">
        <w:rPr>
          <w:b/>
          <w:sz w:val="20"/>
          <w:szCs w:val="20"/>
          <w:lang w:val="en-US"/>
        </w:rPr>
        <w:t xml:space="preserve">, </w:t>
      </w:r>
      <w:r w:rsidRPr="00C47290">
        <w:rPr>
          <w:b/>
          <w:sz w:val="20"/>
          <w:szCs w:val="20"/>
          <w:lang w:val="en-US"/>
        </w:rPr>
        <w:t>a</w:t>
      </w:r>
      <w:r w:rsidR="00B81D9C" w:rsidRPr="00C47290">
        <w:rPr>
          <w:b/>
          <w:sz w:val="20"/>
          <w:szCs w:val="20"/>
          <w:lang w:val="en-US"/>
        </w:rPr>
        <w:t>lign the sizes of formats 0_1 and 1_1</w:t>
      </w:r>
      <w:r w:rsidRPr="00C47290">
        <w:rPr>
          <w:b/>
          <w:sz w:val="20"/>
          <w:szCs w:val="20"/>
          <w:lang w:val="en-US"/>
        </w:rPr>
        <w:t>.</w:t>
      </w:r>
      <w:r w:rsidR="00FB3ECF" w:rsidRPr="00C47290">
        <w:rPr>
          <w:b/>
          <w:sz w:val="20"/>
          <w:szCs w:val="20"/>
          <w:lang w:val="en-US"/>
        </w:rPr>
        <w:t xml:space="preserve"> </w:t>
      </w:r>
      <w:r w:rsidR="00FB3ECF" w:rsidRPr="00C47290">
        <w:rPr>
          <w:b/>
          <w:sz w:val="20"/>
          <w:szCs w:val="20"/>
        </w:rPr>
        <w:t>(partly reverting a previous working assumption)</w:t>
      </w:r>
    </w:p>
    <w:p w14:paraId="59DCEAF1" w14:textId="77777777" w:rsidR="00E0062B" w:rsidRPr="008B704D" w:rsidRDefault="00E0062B" w:rsidP="0034427C">
      <w:pPr>
        <w:rPr>
          <w:lang w:val="fi-FI"/>
        </w:rPr>
      </w:pPr>
    </w:p>
    <w:p w14:paraId="691405FA" w14:textId="102039DF" w:rsidR="00824634" w:rsidRDefault="00824634" w:rsidP="00C47290">
      <w:pPr>
        <w:pStyle w:val="Heading1"/>
        <w:pBdr>
          <w:top w:val="none" w:sz="0" w:space="0" w:color="auto"/>
        </w:pBdr>
        <w:rPr>
          <w:color w:val="000000"/>
        </w:rPr>
      </w:pPr>
      <w:r>
        <w:rPr>
          <w:color w:val="000000"/>
        </w:rPr>
        <w:t>3</w:t>
      </w:r>
      <w:r w:rsidR="001D1932">
        <w:rPr>
          <w:color w:val="000000"/>
        </w:rPr>
        <w:t>.2</w:t>
      </w:r>
      <w:r w:rsidRPr="00A51522">
        <w:rPr>
          <w:color w:val="000000"/>
        </w:rPr>
        <w:tab/>
      </w:r>
      <w:r>
        <w:rPr>
          <w:color w:val="000000"/>
        </w:rPr>
        <w:t xml:space="preserve">DCI format sizes with </w:t>
      </w:r>
      <w:r w:rsidR="001D1932">
        <w:rPr>
          <w:color w:val="000000"/>
        </w:rPr>
        <w:t xml:space="preserve">other </w:t>
      </w:r>
      <w:r>
        <w:rPr>
          <w:color w:val="000000"/>
        </w:rPr>
        <w:t>RNTI</w:t>
      </w:r>
      <w:r w:rsidR="001D1932">
        <w:rPr>
          <w:color w:val="000000"/>
        </w:rPr>
        <w:t>s</w:t>
      </w:r>
    </w:p>
    <w:p w14:paraId="0A56321E" w14:textId="0F1E179F" w:rsidR="00D67F85" w:rsidRDefault="00D67F85" w:rsidP="00E851FF">
      <w:r>
        <w:t>If formats 0_</w:t>
      </w:r>
      <w:r w:rsidR="00AD2D8A">
        <w:rPr>
          <w:lang w:val="en-US"/>
        </w:rPr>
        <w:t xml:space="preserve">0/1_0 is </w:t>
      </w:r>
      <w:r w:rsidR="001D1932">
        <w:rPr>
          <w:lang w:val="en-US"/>
        </w:rPr>
        <w:t xml:space="preserve">allowed to be configured </w:t>
      </w:r>
      <w:r w:rsidR="00C2030B">
        <w:rPr>
          <w:lang w:val="en-US"/>
        </w:rPr>
        <w:t>with the size determined by the active BWP (e.g. in USS)</w:t>
      </w:r>
      <w:r w:rsidR="00AD2D8A">
        <w:rPr>
          <w:lang w:val="en-US"/>
        </w:rPr>
        <w:t>,</w:t>
      </w:r>
      <w:r w:rsidR="00C2030B">
        <w:rPr>
          <w:lang w:val="en-US"/>
        </w:rPr>
        <w:t xml:space="preserve"> formats 0_0/1_0 in CSS </w:t>
      </w:r>
      <w:r w:rsidR="00961A02">
        <w:rPr>
          <w:lang w:val="en-US"/>
        </w:rPr>
        <w:t xml:space="preserve">(with the size determined by </w:t>
      </w:r>
      <w:r w:rsidR="00560ADE">
        <w:rPr>
          <w:lang w:val="en-US"/>
        </w:rPr>
        <w:t xml:space="preserve">the initial BWP) </w:t>
      </w:r>
      <w:r w:rsidR="00C2030B">
        <w:rPr>
          <w:lang w:val="en-US"/>
        </w:rPr>
        <w:t xml:space="preserve">would use the </w:t>
      </w:r>
      <w:r w:rsidR="00560ADE">
        <w:rPr>
          <w:lang w:val="en-US"/>
        </w:rPr>
        <w:t>4</w:t>
      </w:r>
      <w:r w:rsidR="00560ADE" w:rsidRPr="00C47290">
        <w:rPr>
          <w:vertAlign w:val="superscript"/>
          <w:lang w:val="en-US"/>
        </w:rPr>
        <w:t>th</w:t>
      </w:r>
      <w:r w:rsidR="00C2030B">
        <w:rPr>
          <w:lang w:val="en-US"/>
        </w:rPr>
        <w:t xml:space="preserve"> DCI size from the budget.</w:t>
      </w:r>
      <w:r w:rsidR="00AD2D8A">
        <w:rPr>
          <w:lang w:val="en-US"/>
        </w:rPr>
        <w:t xml:space="preserve"> </w:t>
      </w:r>
      <w:r w:rsidR="002F3444">
        <w:rPr>
          <w:lang w:val="en-US"/>
        </w:rPr>
        <w:t xml:space="preserve">We already have the working assumption that </w:t>
      </w:r>
      <w:r w:rsidR="001521C9">
        <w:rPr>
          <w:lang w:val="en-US"/>
        </w:rPr>
        <w:t>format</w:t>
      </w:r>
      <w:r w:rsidR="00A46C9C">
        <w:rPr>
          <w:lang w:val="en-US"/>
        </w:rPr>
        <w:t>s</w:t>
      </w:r>
      <w:r w:rsidR="001521C9">
        <w:rPr>
          <w:lang w:val="en-US"/>
        </w:rPr>
        <w:t xml:space="preserve"> 2_2/2_3 </w:t>
      </w:r>
      <w:r w:rsidR="002F3444">
        <w:rPr>
          <w:lang w:val="en-US"/>
        </w:rPr>
        <w:t>align the</w:t>
      </w:r>
      <w:r w:rsidR="00A46C9C">
        <w:rPr>
          <w:lang w:val="en-US"/>
        </w:rPr>
        <w:t xml:space="preserve"> size </w:t>
      </w:r>
      <w:r w:rsidR="002F3444">
        <w:rPr>
          <w:lang w:val="en-US"/>
        </w:rPr>
        <w:t>with</w:t>
      </w:r>
      <w:r w:rsidR="00A46C9C">
        <w:rPr>
          <w:lang w:val="en-US"/>
        </w:rPr>
        <w:t xml:space="preserve"> formats 0_0/1_0 </w:t>
      </w:r>
      <w:r w:rsidR="002F3444">
        <w:rPr>
          <w:lang w:val="en-US"/>
        </w:rPr>
        <w:t>as defined by the initial BWP</w:t>
      </w:r>
      <w:r w:rsidR="00E477BA">
        <w:rPr>
          <w:lang w:val="en-US"/>
        </w:rPr>
        <w:t>, so this is not an issue.</w:t>
      </w:r>
      <w:r w:rsidR="00A46C9C">
        <w:rPr>
          <w:lang w:val="en-US"/>
        </w:rPr>
        <w:t xml:space="preserve"> </w:t>
      </w:r>
      <w:r w:rsidR="00E477BA">
        <w:rPr>
          <w:lang w:val="en-US"/>
        </w:rPr>
        <w:t>Then</w:t>
      </w:r>
      <w:r w:rsidR="00A46C9C">
        <w:rPr>
          <w:lang w:val="en-US"/>
        </w:rPr>
        <w:t xml:space="preserve"> the remaining DCI formats (2_0 and 2_1) </w:t>
      </w:r>
      <w:r w:rsidR="00E477BA">
        <w:rPr>
          <w:lang w:val="en-US"/>
        </w:rPr>
        <w:t xml:space="preserve">also </w:t>
      </w:r>
      <w:r w:rsidR="00A46C9C">
        <w:rPr>
          <w:lang w:val="en-US"/>
        </w:rPr>
        <w:t xml:space="preserve">need to be aligned with one of the others in </w:t>
      </w:r>
      <w:r w:rsidR="00A46C9C">
        <w:rPr>
          <w:lang w:val="en-US"/>
        </w:rPr>
        <w:lastRenderedPageBreak/>
        <w:t>order to keep the working assumption of at most 4 different DCI sizes.</w:t>
      </w:r>
      <w:r w:rsidR="00C711A5">
        <w:rPr>
          <w:lang w:val="en-US"/>
        </w:rPr>
        <w:t xml:space="preserve"> The natural choice would be to align the size of format 2_0/2_1 with 2_2/2_3, as they are all monitored in CSS.</w:t>
      </w:r>
    </w:p>
    <w:p w14:paraId="0C11312F" w14:textId="244A7574" w:rsidR="006969FD" w:rsidRPr="00C711A5" w:rsidRDefault="00C066D4" w:rsidP="00E851FF">
      <w:pPr>
        <w:rPr>
          <w:b/>
        </w:rPr>
      </w:pPr>
      <w:r>
        <w:rPr>
          <w:b/>
        </w:rPr>
        <w:t xml:space="preserve">Proposal </w:t>
      </w:r>
      <w:r w:rsidR="007B1593">
        <w:rPr>
          <w:b/>
        </w:rPr>
        <w:t>4</w:t>
      </w:r>
      <w:r w:rsidR="006969FD" w:rsidRPr="00C711A5">
        <w:rPr>
          <w:b/>
        </w:rPr>
        <w:t xml:space="preserve">: </w:t>
      </w:r>
      <w:r w:rsidR="002D5889" w:rsidRPr="00C711A5">
        <w:rPr>
          <w:b/>
        </w:rPr>
        <w:t xml:space="preserve">The sizes </w:t>
      </w:r>
      <w:r w:rsidR="00715ECD">
        <w:rPr>
          <w:b/>
        </w:rPr>
        <w:t>of</w:t>
      </w:r>
      <w:r w:rsidR="002D5889" w:rsidRPr="00C711A5">
        <w:rPr>
          <w:b/>
        </w:rPr>
        <w:t xml:space="preserve"> DCI format 2_0 and 2_1 are aligned with the size</w:t>
      </w:r>
      <w:r w:rsidR="001823CD" w:rsidRPr="00C711A5">
        <w:rPr>
          <w:b/>
        </w:rPr>
        <w:t>s</w:t>
      </w:r>
      <w:r w:rsidR="002D5889" w:rsidRPr="00C711A5">
        <w:rPr>
          <w:b/>
        </w:rPr>
        <w:t xml:space="preserve"> of format 2_2 and 2_3</w:t>
      </w:r>
      <w:r w:rsidR="00CD14FE">
        <w:rPr>
          <w:b/>
        </w:rPr>
        <w:t xml:space="preserve"> when the DCI size limit is reached</w:t>
      </w:r>
      <w:r w:rsidR="002D5889" w:rsidRPr="00C711A5">
        <w:rPr>
          <w:b/>
        </w:rPr>
        <w:t>.</w:t>
      </w:r>
    </w:p>
    <w:p w14:paraId="24074F5E" w14:textId="636E73EE" w:rsidR="000B2FCF" w:rsidRDefault="00090FA0" w:rsidP="0024077C">
      <w:pPr>
        <w:rPr>
          <w:lang w:val="en-US"/>
        </w:rPr>
      </w:pPr>
      <w:r>
        <w:rPr>
          <w:lang w:val="en-US"/>
        </w:rPr>
        <w:t>The design of another DCI format for PDCCH order for random access</w:t>
      </w:r>
      <w:r w:rsidR="0040302D">
        <w:rPr>
          <w:lang w:val="en-US"/>
        </w:rPr>
        <w:t xml:space="preserve"> (we call it format X for easy reference in this paper)</w:t>
      </w:r>
      <w:r>
        <w:rPr>
          <w:lang w:val="en-US"/>
        </w:rPr>
        <w:t xml:space="preserve"> is still ongoing, and our view is presented in our companion contribution [2].</w:t>
      </w:r>
      <w:r w:rsidR="008401C8">
        <w:rPr>
          <w:lang w:val="en-US"/>
        </w:rPr>
        <w:t xml:space="preserve"> The next question is what the size should be for this DCI. From the discussio</w:t>
      </w:r>
      <w:r w:rsidR="00C82454">
        <w:rPr>
          <w:lang w:val="en-US"/>
        </w:rPr>
        <w:t>n above, it is clear that there is no new DCI size available with</w:t>
      </w:r>
      <w:r w:rsidR="00BD7BEB">
        <w:rPr>
          <w:lang w:val="en-US"/>
        </w:rPr>
        <w:t>in</w:t>
      </w:r>
      <w:r w:rsidR="00C82454">
        <w:rPr>
          <w:lang w:val="en-US"/>
        </w:rPr>
        <w:t xml:space="preserve"> the </w:t>
      </w:r>
      <w:r w:rsidR="00F93E77">
        <w:rPr>
          <w:lang w:val="en-US"/>
        </w:rPr>
        <w:t xml:space="preserve">4-size </w:t>
      </w:r>
      <w:r w:rsidR="00C82454">
        <w:rPr>
          <w:lang w:val="en-US"/>
        </w:rPr>
        <w:t xml:space="preserve">budget we have. Therefore, it needs to be aligned with one of the existing C-RNTI scrambled DCI. The natural choice would be to align it with the shorter ones, formats 0_0/1_0. </w:t>
      </w:r>
      <w:r w:rsidR="00B56340">
        <w:rPr>
          <w:lang w:val="en-US"/>
        </w:rPr>
        <w:t xml:space="preserve">However, the size of formats 0_0/1_0 depends on which search space they are monitored in. </w:t>
      </w:r>
      <w:r w:rsidR="0024077C">
        <w:rPr>
          <w:lang w:val="en-US"/>
        </w:rPr>
        <w:t>P</w:t>
      </w:r>
      <w:r w:rsidR="000B2FCF">
        <w:rPr>
          <w:lang w:val="en-US"/>
        </w:rPr>
        <w:t xml:space="preserve">ractically speaking </w:t>
      </w:r>
      <w:r w:rsidR="000B3BA2">
        <w:rPr>
          <w:lang w:val="en-US"/>
        </w:rPr>
        <w:t xml:space="preserve">it always makes sense to configure </w:t>
      </w:r>
      <w:r w:rsidR="0024077C">
        <w:rPr>
          <w:lang w:val="en-US"/>
        </w:rPr>
        <w:t xml:space="preserve">format X and formats 0_0/1_0 </w:t>
      </w:r>
      <w:r w:rsidR="000B3BA2">
        <w:rPr>
          <w:lang w:val="en-US"/>
        </w:rPr>
        <w:t>in the same search space to avoid duplicated candidate monitoring at the UE (i.e. waste of PDCCH candidates). So a simplified approach is to always align the size of format X with that of formats 0_0/1_0 assuming they are in the same search space.</w:t>
      </w:r>
    </w:p>
    <w:p w14:paraId="35AEB305" w14:textId="1C9983F5" w:rsidR="008D32F6" w:rsidRPr="00C711A5" w:rsidRDefault="008D32F6" w:rsidP="008D32F6">
      <w:pPr>
        <w:rPr>
          <w:b/>
        </w:rPr>
      </w:pPr>
      <w:r>
        <w:rPr>
          <w:b/>
        </w:rPr>
        <w:t xml:space="preserve">Proposal </w:t>
      </w:r>
      <w:r w:rsidR="00121493">
        <w:rPr>
          <w:b/>
        </w:rPr>
        <w:t>5</w:t>
      </w:r>
      <w:r w:rsidRPr="00C711A5">
        <w:rPr>
          <w:b/>
        </w:rPr>
        <w:t xml:space="preserve">: </w:t>
      </w:r>
      <w:r>
        <w:rPr>
          <w:b/>
        </w:rPr>
        <w:t>PDCCH order for random access</w:t>
      </w:r>
      <w:r w:rsidR="00DE0E7E">
        <w:rPr>
          <w:b/>
        </w:rPr>
        <w:t xml:space="preserve"> is monitored in the same search space as </w:t>
      </w:r>
      <w:r w:rsidR="00DE0E7E" w:rsidRPr="00C711A5">
        <w:rPr>
          <w:b/>
        </w:rPr>
        <w:t xml:space="preserve">format </w:t>
      </w:r>
      <w:r w:rsidR="00DE0E7E">
        <w:rPr>
          <w:b/>
        </w:rPr>
        <w:t>0_0/1_0 with C-RNTI</w:t>
      </w:r>
      <w:r w:rsidR="00121493">
        <w:rPr>
          <w:b/>
        </w:rPr>
        <w:t xml:space="preserve"> and their sizes are </w:t>
      </w:r>
      <w:r w:rsidRPr="00C711A5">
        <w:rPr>
          <w:b/>
        </w:rPr>
        <w:t>aligned.</w:t>
      </w:r>
    </w:p>
    <w:p w14:paraId="5C21CE73" w14:textId="77777777" w:rsidR="008D32F6" w:rsidRDefault="008D32F6" w:rsidP="00E851FF">
      <w:pPr>
        <w:rPr>
          <w:lang w:val="en-US"/>
        </w:rPr>
      </w:pPr>
    </w:p>
    <w:p w14:paraId="5684E2CB" w14:textId="0EAC2348" w:rsidR="00DE775C" w:rsidRDefault="00DE775C" w:rsidP="00DE775C">
      <w:pPr>
        <w:pStyle w:val="Heading1"/>
        <w:rPr>
          <w:color w:val="000000"/>
        </w:rPr>
      </w:pPr>
      <w:r>
        <w:rPr>
          <w:color w:val="000000"/>
        </w:rPr>
        <w:t>3</w:t>
      </w:r>
      <w:r w:rsidRPr="00A51522">
        <w:rPr>
          <w:color w:val="000000"/>
        </w:rPr>
        <w:tab/>
      </w:r>
      <w:r>
        <w:rPr>
          <w:color w:val="000000"/>
        </w:rPr>
        <w:t>Conclusion</w:t>
      </w:r>
    </w:p>
    <w:p w14:paraId="5F5B8EDF" w14:textId="31C5F196" w:rsidR="00DE775C" w:rsidRDefault="00FE7AD9" w:rsidP="00E851FF">
      <w:pPr>
        <w:rPr>
          <w:lang w:val="en-US"/>
        </w:rPr>
      </w:pPr>
      <w:r>
        <w:rPr>
          <w:lang w:val="en-US"/>
        </w:rPr>
        <w:t>In this contribution we have discussed the size alignment of different DCI formats and proposed the following:</w:t>
      </w:r>
    </w:p>
    <w:p w14:paraId="3C484558" w14:textId="52824E15" w:rsidR="00121493" w:rsidRPr="00F6260C" w:rsidRDefault="0099262C" w:rsidP="00121493">
      <w:pPr>
        <w:rPr>
          <w:b/>
        </w:rPr>
      </w:pPr>
      <w:r w:rsidRPr="00C47290">
        <w:rPr>
          <w:b/>
        </w:rPr>
        <w:t>P</w:t>
      </w:r>
      <w:r w:rsidR="00121493" w:rsidRPr="00C47290">
        <w:rPr>
          <w:b/>
        </w:rPr>
        <w:t>r</w:t>
      </w:r>
      <w:r w:rsidRPr="00C47290">
        <w:rPr>
          <w:b/>
        </w:rPr>
        <w:t>o</w:t>
      </w:r>
      <w:r w:rsidR="00121493" w:rsidRPr="00C47290">
        <w:rPr>
          <w:b/>
        </w:rPr>
        <w:t>posal 1</w:t>
      </w:r>
      <w:r w:rsidR="00121493" w:rsidRPr="00F6260C">
        <w:rPr>
          <w:b/>
        </w:rPr>
        <w:t xml:space="preserve">: For unicast data scheduling, in case the DCI size is determined using the initial BWP instead of the active BWP, one of the following options </w:t>
      </w:r>
      <w:r w:rsidR="00121493">
        <w:rPr>
          <w:b/>
        </w:rPr>
        <w:t>is</w:t>
      </w:r>
      <w:r w:rsidR="00121493" w:rsidRPr="00F6260C">
        <w:rPr>
          <w:b/>
        </w:rPr>
        <w:t xml:space="preserve"> used for </w:t>
      </w:r>
      <w:r w:rsidR="00121493">
        <w:rPr>
          <w:b/>
        </w:rPr>
        <w:t xml:space="preserve">the </w:t>
      </w:r>
      <w:r w:rsidR="00121493" w:rsidRPr="00F6260C">
        <w:rPr>
          <w:b/>
        </w:rPr>
        <w:t>interpretation of frequency RA field:</w:t>
      </w:r>
    </w:p>
    <w:p w14:paraId="3B99145D" w14:textId="77777777" w:rsidR="00121493" w:rsidRPr="00A963A1" w:rsidRDefault="00121493" w:rsidP="00121493">
      <w:pPr>
        <w:pStyle w:val="ListParagraph"/>
        <w:numPr>
          <w:ilvl w:val="0"/>
          <w:numId w:val="25"/>
        </w:numPr>
        <w:rPr>
          <w:b/>
          <w:sz w:val="20"/>
          <w:szCs w:val="20"/>
          <w:lang w:val="en-US"/>
        </w:rPr>
      </w:pPr>
      <w:r w:rsidRPr="00A963A1">
        <w:rPr>
          <w:b/>
          <w:sz w:val="20"/>
          <w:szCs w:val="20"/>
          <w:lang w:val="en-US"/>
        </w:rPr>
        <w:t>Derive the start position and length from RIV based on the initial BWP or a virtual BWP (the maximum bandwidth that can be supported by the bitwidth of the frequency RA field), and apply them to the active BWP, or</w:t>
      </w:r>
    </w:p>
    <w:p w14:paraId="7AAF13FD" w14:textId="77777777" w:rsidR="00121493" w:rsidRPr="00A963A1" w:rsidRDefault="00121493" w:rsidP="00121493">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apply a scaling factor and then apply to the active BWP </w:t>
      </w:r>
    </w:p>
    <w:p w14:paraId="4E168848" w14:textId="5E341909" w:rsidR="00121493" w:rsidRPr="00F6260C" w:rsidRDefault="00121493" w:rsidP="00C47290">
      <w:pPr>
        <w:spacing w:before="240"/>
        <w:rPr>
          <w:b/>
        </w:rPr>
      </w:pPr>
      <w:r w:rsidRPr="00C47290">
        <w:rPr>
          <w:b/>
        </w:rPr>
        <w:t>Proposal 2</w:t>
      </w:r>
      <w:r w:rsidRPr="00F6260C">
        <w:rPr>
          <w:b/>
        </w:rPr>
        <w:t xml:space="preserve">: For broadcast/group-common data scheduling, in case the DCI size is determined using the initial BWP instead of the active BWP, the following </w:t>
      </w:r>
      <w:r>
        <w:rPr>
          <w:b/>
        </w:rPr>
        <w:t>is</w:t>
      </w:r>
      <w:r w:rsidRPr="00F6260C">
        <w:rPr>
          <w:b/>
        </w:rPr>
        <w:t xml:space="preserve"> used for</w:t>
      </w:r>
      <w:r>
        <w:rPr>
          <w:b/>
        </w:rPr>
        <w:t xml:space="preserve"> the</w:t>
      </w:r>
      <w:r w:rsidRPr="00F6260C">
        <w:rPr>
          <w:b/>
        </w:rPr>
        <w:t xml:space="preserve"> interpretation of frequency RA field:</w:t>
      </w:r>
    </w:p>
    <w:p w14:paraId="517700D5" w14:textId="58B1A17E" w:rsidR="00121493" w:rsidRPr="00A963A1" w:rsidRDefault="00121493" w:rsidP="00121493">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or a virtual BWP (the maximum bandwidth that can be supported by the bitwidth of the frequency RA field), and apply them </w:t>
      </w:r>
      <w:r w:rsidR="00887278">
        <w:rPr>
          <w:b/>
          <w:sz w:val="20"/>
          <w:szCs w:val="20"/>
          <w:lang w:val="en-US"/>
        </w:rPr>
        <w:t>assuming PRB0 points to the lowest indexed PRB of the corresponding CORESET</w:t>
      </w:r>
      <w:r w:rsidRPr="00A963A1">
        <w:rPr>
          <w:b/>
          <w:sz w:val="20"/>
          <w:szCs w:val="20"/>
          <w:lang w:val="en-US"/>
        </w:rPr>
        <w:t>.</w:t>
      </w:r>
    </w:p>
    <w:p w14:paraId="0F49AF72" w14:textId="2013E13E" w:rsidR="007C453F" w:rsidRPr="00877ADA" w:rsidRDefault="007C453F" w:rsidP="00C47290">
      <w:pPr>
        <w:spacing w:before="240"/>
        <w:rPr>
          <w:b/>
        </w:rPr>
      </w:pPr>
      <w:r w:rsidRPr="00877ADA">
        <w:rPr>
          <w:b/>
        </w:rPr>
        <w:t>Proposal 3: One of the following is chosen to address the number fo DCI sizes with C-RNTI:</w:t>
      </w:r>
    </w:p>
    <w:p w14:paraId="18DC71EC" w14:textId="318D48F3" w:rsidR="007C453F" w:rsidRPr="00877ADA" w:rsidRDefault="007C453F" w:rsidP="007C453F">
      <w:pPr>
        <w:pStyle w:val="ListParagraph"/>
        <w:numPr>
          <w:ilvl w:val="2"/>
          <w:numId w:val="17"/>
        </w:numPr>
        <w:ind w:left="709" w:hanging="284"/>
        <w:rPr>
          <w:b/>
          <w:sz w:val="20"/>
          <w:szCs w:val="20"/>
          <w:lang w:val="en-US"/>
        </w:rPr>
      </w:pPr>
      <w:r w:rsidRPr="00877ADA">
        <w:rPr>
          <w:b/>
          <w:sz w:val="20"/>
          <w:szCs w:val="20"/>
          <w:lang w:val="en-US"/>
        </w:rPr>
        <w:t xml:space="preserve">1st preference: a UE monitors up to 4 DCI sizes </w:t>
      </w:r>
      <w:r w:rsidR="002575C0">
        <w:rPr>
          <w:b/>
          <w:sz w:val="20"/>
          <w:szCs w:val="20"/>
          <w:lang w:val="en-US"/>
        </w:rPr>
        <w:t>regardless of the</w:t>
      </w:r>
      <w:r w:rsidR="005160E3">
        <w:rPr>
          <w:b/>
          <w:sz w:val="20"/>
          <w:szCs w:val="20"/>
          <w:lang w:val="en-US"/>
        </w:rPr>
        <w:t xml:space="preserve"> RNTI</w:t>
      </w:r>
      <w:r w:rsidR="002575C0">
        <w:rPr>
          <w:b/>
          <w:sz w:val="20"/>
          <w:szCs w:val="20"/>
          <w:lang w:val="en-US"/>
        </w:rPr>
        <w:t xml:space="preserve"> </w:t>
      </w:r>
      <w:r w:rsidRPr="00877ADA">
        <w:rPr>
          <w:b/>
          <w:sz w:val="20"/>
          <w:szCs w:val="20"/>
          <w:lang w:val="en-US"/>
        </w:rPr>
        <w:t>(reverting a previous working assumption)</w:t>
      </w:r>
    </w:p>
    <w:p w14:paraId="5C0B257A" w14:textId="77777777" w:rsidR="007C453F" w:rsidRPr="00877ADA" w:rsidRDefault="007C453F" w:rsidP="007C453F">
      <w:pPr>
        <w:pStyle w:val="ListParagraph"/>
        <w:numPr>
          <w:ilvl w:val="2"/>
          <w:numId w:val="17"/>
        </w:numPr>
        <w:ind w:left="709" w:hanging="284"/>
        <w:rPr>
          <w:b/>
          <w:sz w:val="20"/>
          <w:szCs w:val="20"/>
        </w:rPr>
      </w:pPr>
      <w:r w:rsidRPr="00877ADA">
        <w:rPr>
          <w:b/>
          <w:sz w:val="20"/>
          <w:szCs w:val="20"/>
          <w:lang w:val="en-US"/>
        </w:rPr>
        <w:t xml:space="preserve">2nd preference: Confirm the existing working assumptions. In case format 0_0/1_0 with C-RNTI is configured in both CSS and USS, and the active DL BWP and the initial DL BWP result in different DCI sizes for formats 0_0/1_0, align the sizes of formats 0_1 and 1_1. </w:t>
      </w:r>
      <w:r w:rsidRPr="00877ADA">
        <w:rPr>
          <w:b/>
          <w:sz w:val="20"/>
          <w:szCs w:val="20"/>
        </w:rPr>
        <w:t>(partly reverting a previous working assumption)</w:t>
      </w:r>
    </w:p>
    <w:p w14:paraId="5C078949" w14:textId="5FA6B0D4" w:rsidR="007C453F" w:rsidRPr="00C711A5" w:rsidRDefault="007C453F" w:rsidP="00C47290">
      <w:pPr>
        <w:spacing w:before="240"/>
        <w:rPr>
          <w:b/>
        </w:rPr>
      </w:pPr>
      <w:r>
        <w:rPr>
          <w:b/>
        </w:rPr>
        <w:t>Proposal 4</w:t>
      </w:r>
      <w:r w:rsidRPr="00C711A5">
        <w:rPr>
          <w:b/>
        </w:rPr>
        <w:t xml:space="preserve">: The sizes </w:t>
      </w:r>
      <w:r>
        <w:rPr>
          <w:b/>
        </w:rPr>
        <w:t>of</w:t>
      </w:r>
      <w:r w:rsidRPr="00C711A5">
        <w:rPr>
          <w:b/>
        </w:rPr>
        <w:t xml:space="preserve"> DCI format 2_0 and 2_1 are aligned with the sizes of format 2_2 and 2_3</w:t>
      </w:r>
      <w:r>
        <w:rPr>
          <w:b/>
        </w:rPr>
        <w:t xml:space="preserve"> when the DCI size limit is reached</w:t>
      </w:r>
      <w:r w:rsidRPr="00C711A5">
        <w:rPr>
          <w:b/>
        </w:rPr>
        <w:t>.</w:t>
      </w:r>
    </w:p>
    <w:p w14:paraId="53EF6F53" w14:textId="77777777" w:rsidR="007C453F" w:rsidRPr="00C711A5" w:rsidRDefault="007C453F" w:rsidP="007C453F">
      <w:pPr>
        <w:rPr>
          <w:b/>
        </w:rPr>
      </w:pPr>
      <w:r>
        <w:rPr>
          <w:b/>
        </w:rPr>
        <w:t>Proposal 5</w:t>
      </w:r>
      <w:r w:rsidRPr="00C711A5">
        <w:rPr>
          <w:b/>
        </w:rPr>
        <w:t xml:space="preserve">: </w:t>
      </w:r>
      <w:r>
        <w:rPr>
          <w:b/>
        </w:rPr>
        <w:t xml:space="preserve">PDCCH order for random access is monitored in the same search space as </w:t>
      </w:r>
      <w:r w:rsidRPr="00C711A5">
        <w:rPr>
          <w:b/>
        </w:rPr>
        <w:t xml:space="preserve">format </w:t>
      </w:r>
      <w:r>
        <w:rPr>
          <w:b/>
        </w:rPr>
        <w:t xml:space="preserve">0_0/1_0 with C-RNTI and their sizes are </w:t>
      </w:r>
      <w:r w:rsidRPr="00C711A5">
        <w:rPr>
          <w:b/>
        </w:rPr>
        <w:t>aligned.</w:t>
      </w:r>
    </w:p>
    <w:p w14:paraId="71EE3F83" w14:textId="77777777" w:rsidR="007C453F" w:rsidRPr="00C47290" w:rsidRDefault="007C453F" w:rsidP="00E851FF"/>
    <w:p w14:paraId="0BECBEBC" w14:textId="3381F81F" w:rsidR="00D20FD3" w:rsidRDefault="00D20FD3" w:rsidP="00D20FD3">
      <w:pPr>
        <w:pStyle w:val="Heading1"/>
        <w:rPr>
          <w:color w:val="000000"/>
        </w:rPr>
      </w:pPr>
      <w:r>
        <w:rPr>
          <w:color w:val="000000"/>
        </w:rPr>
        <w:t>References</w:t>
      </w:r>
    </w:p>
    <w:p w14:paraId="1C189681" w14:textId="14345484" w:rsidR="00D20FD3" w:rsidRDefault="00D20FD3" w:rsidP="00CA3A0A">
      <w:r>
        <w:t xml:space="preserve">[1] </w:t>
      </w:r>
      <w:r w:rsidRPr="00FC0285">
        <w:t>R1-</w:t>
      </w:r>
      <w:r w:rsidR="00AC6006" w:rsidRPr="00C47290">
        <w:t>18</w:t>
      </w:r>
      <w:r w:rsidR="00FC0285" w:rsidRPr="00C47290">
        <w:t>04762</w:t>
      </w:r>
      <w:r w:rsidR="00DE775C">
        <w:t>, “</w:t>
      </w:r>
      <w:r w:rsidR="00DE775C" w:rsidRPr="00DE775C">
        <w:t>On remaining details on BWPs</w:t>
      </w:r>
      <w:r w:rsidR="00DE775C">
        <w:t>”, Nokia, Nokia Shanghai Bell, RAN1#92</w:t>
      </w:r>
      <w:r w:rsidR="00AC6006">
        <w:t>bis</w:t>
      </w:r>
      <w:r w:rsidR="00DE775C">
        <w:t xml:space="preserve">, </w:t>
      </w:r>
      <w:r w:rsidR="00AC6006">
        <w:t>April</w:t>
      </w:r>
      <w:r w:rsidR="00DE775C">
        <w:t xml:space="preserve"> 2018.</w:t>
      </w:r>
    </w:p>
    <w:p w14:paraId="4F787CC9" w14:textId="7177A407" w:rsidR="00090FA0" w:rsidRPr="00CA3A0A" w:rsidRDefault="00090FA0" w:rsidP="00CA3A0A">
      <w:r>
        <w:lastRenderedPageBreak/>
        <w:t>[2] R1-</w:t>
      </w:r>
      <w:r w:rsidR="00AE2D9F" w:rsidRPr="00E26947">
        <w:t>18</w:t>
      </w:r>
      <w:r w:rsidR="00E26947" w:rsidRPr="009444FE">
        <w:t>044</w:t>
      </w:r>
      <w:r w:rsidR="00E26947">
        <w:t>57</w:t>
      </w:r>
      <w:r w:rsidR="009E21B6">
        <w:t>, “</w:t>
      </w:r>
      <w:r w:rsidR="008401C8" w:rsidRPr="008401C8">
        <w:t>Remaining details on RACH procedure</w:t>
      </w:r>
      <w:r w:rsidR="009E21B6">
        <w:t>”</w:t>
      </w:r>
      <w:r w:rsidR="008401C8">
        <w:t>, Nokia, Nokia Shanghai Bell, RAN1#92</w:t>
      </w:r>
      <w:r w:rsidR="00AE2D9F">
        <w:t>bis</w:t>
      </w:r>
      <w:r w:rsidR="008401C8">
        <w:t xml:space="preserve">, </w:t>
      </w:r>
      <w:r w:rsidR="00AE2D9F">
        <w:t>April</w:t>
      </w:r>
      <w:r w:rsidR="008401C8">
        <w:t xml:space="preserve"> 2018.</w:t>
      </w:r>
    </w:p>
    <w:p w14:paraId="1B968D85" w14:textId="7C569382" w:rsidR="003578D2" w:rsidRDefault="003578D2" w:rsidP="00DC4600"/>
    <w:p w14:paraId="7CE94785" w14:textId="79EE6C00" w:rsidR="009E47BD" w:rsidRDefault="009E47BD" w:rsidP="009E47BD">
      <w:pPr>
        <w:pStyle w:val="Heading1"/>
        <w:rPr>
          <w:color w:val="000000"/>
        </w:rPr>
      </w:pPr>
      <w:r>
        <w:rPr>
          <w:color w:val="000000"/>
        </w:rPr>
        <w:t xml:space="preserve">Appendix: </w:t>
      </w:r>
      <w:r w:rsidR="00360C62">
        <w:rPr>
          <w:color w:val="000000"/>
        </w:rPr>
        <w:t>Behavior of zero-paddi</w:t>
      </w:r>
      <w:r w:rsidR="00DB3F22">
        <w:rPr>
          <w:color w:val="000000"/>
        </w:rPr>
        <w:t>ng frequency RA</w:t>
      </w:r>
      <w:r w:rsidR="00360C62">
        <w:rPr>
          <w:color w:val="000000"/>
        </w:rPr>
        <w:t xml:space="preserve"> field</w:t>
      </w:r>
      <w:r w:rsidR="00DB3F22">
        <w:rPr>
          <w:color w:val="000000"/>
        </w:rPr>
        <w:t xml:space="preserve"> for type 1 RA</w:t>
      </w:r>
    </w:p>
    <w:p w14:paraId="526D6A99" w14:textId="2872AEB1" w:rsidR="004155F9" w:rsidRDefault="004155F9" w:rsidP="004155F9">
      <w:pPr>
        <w:rPr>
          <w:rFonts w:eastAsia="Times New Roman"/>
        </w:rPr>
      </w:pPr>
      <w:r>
        <w:rPr>
          <w:rFonts w:eastAsia="Times New Roman"/>
        </w:rPr>
        <w:t>W</w:t>
      </w:r>
      <w:r w:rsidRPr="006A00D3">
        <w:rPr>
          <w:rFonts w:eastAsia="Times New Roman"/>
        </w:rPr>
        <w:t xml:space="preserve">ith </w:t>
      </w:r>
      <w:r w:rsidR="003F6CC5">
        <w:rPr>
          <w:rFonts w:eastAsia="Times New Roman"/>
        </w:rPr>
        <w:t>type 1</w:t>
      </w:r>
      <w:r w:rsidR="003F6CC5" w:rsidRPr="006A00D3">
        <w:rPr>
          <w:rFonts w:eastAsia="Times New Roman"/>
        </w:rPr>
        <w:t xml:space="preserve"> </w:t>
      </w:r>
      <w:r w:rsidRPr="006A00D3">
        <w:rPr>
          <w:rFonts w:eastAsia="Times New Roman"/>
        </w:rPr>
        <w:t>RA</w:t>
      </w:r>
      <w:r>
        <w:rPr>
          <w:rFonts w:eastAsia="Times New Roman"/>
        </w:rPr>
        <w:t xml:space="preserve">, </w:t>
      </w:r>
      <w:r w:rsidR="00A03778">
        <w:rPr>
          <w:rFonts w:eastAsia="Times New Roman"/>
        </w:rPr>
        <w:t xml:space="preserve">the mapping between RIV and starting position/length for a 24-RB BWP </w:t>
      </w:r>
      <w:r w:rsidR="006F06C9">
        <w:rPr>
          <w:rFonts w:eastAsia="Times New Roman"/>
        </w:rPr>
        <w:t xml:space="preserve">is </w:t>
      </w:r>
      <w:r w:rsidR="00A03778">
        <w:rPr>
          <w:rFonts w:eastAsia="Times New Roman"/>
        </w:rPr>
        <w:t xml:space="preserve">shown </w:t>
      </w:r>
      <w:r w:rsidR="006F06C9">
        <w:rPr>
          <w:rFonts w:eastAsia="Times New Roman"/>
        </w:rPr>
        <w:t>i</w:t>
      </w:r>
      <w:r>
        <w:rPr>
          <w:rFonts w:eastAsia="Times New Roman"/>
        </w:rPr>
        <w:t>n Figure 3</w:t>
      </w:r>
      <w:r w:rsidR="00A03778">
        <w:rPr>
          <w:rFonts w:eastAsia="Times New Roman"/>
        </w:rPr>
        <w:t>.</w:t>
      </w:r>
      <w:r>
        <w:rPr>
          <w:rFonts w:eastAsia="Times New Roman"/>
        </w:rPr>
        <w:t xml:space="preserve"> </w:t>
      </w:r>
      <w:r w:rsidR="006E63D2">
        <w:rPr>
          <w:rFonts w:eastAsia="Times New Roman"/>
        </w:rPr>
        <w:t xml:space="preserve">As can be seen from the figure, using only the </w:t>
      </w:r>
      <w:r w:rsidR="00D95E7D">
        <w:rPr>
          <w:rFonts w:eastAsia="Times New Roman"/>
        </w:rPr>
        <w:t>smaller</w:t>
      </w:r>
      <w:r w:rsidR="006E63D2">
        <w:rPr>
          <w:rFonts w:eastAsia="Times New Roman"/>
        </w:rPr>
        <w:t xml:space="preserve"> entries for RIV</w:t>
      </w:r>
      <w:r w:rsidR="003B3D3E">
        <w:rPr>
          <w:rFonts w:eastAsia="Times New Roman"/>
        </w:rPr>
        <w:t xml:space="preserve"> (i.e. zero-padding RIV)</w:t>
      </w:r>
      <w:r w:rsidR="006E63D2">
        <w:rPr>
          <w:rFonts w:eastAsia="Times New Roman"/>
        </w:rPr>
        <w:t xml:space="preserve"> would result in</w:t>
      </w:r>
      <w:r w:rsidRPr="006A00D3">
        <w:rPr>
          <w:rFonts w:eastAsia="Times New Roman"/>
        </w:rPr>
        <w:t xml:space="preserve"> </w:t>
      </w:r>
      <w:r w:rsidRPr="006A00D3">
        <w:rPr>
          <w:rFonts w:eastAsia="Times New Roman"/>
          <w:b/>
        </w:rPr>
        <w:t>un</w:t>
      </w:r>
      <w:r>
        <w:rPr>
          <w:rFonts w:eastAsia="Times New Roman"/>
          <w:b/>
        </w:rPr>
        <w:t>desirable</w:t>
      </w:r>
      <w:r w:rsidRPr="006A00D3">
        <w:rPr>
          <w:rFonts w:eastAsia="Times New Roman"/>
          <w:b/>
        </w:rPr>
        <w:t xml:space="preserve"> pruning of </w:t>
      </w:r>
      <w:r>
        <w:rPr>
          <w:rFonts w:eastAsia="Times New Roman"/>
          <w:b/>
        </w:rPr>
        <w:t>start and/or length values</w:t>
      </w:r>
      <w:r w:rsidRPr="006A00D3">
        <w:rPr>
          <w:rFonts w:eastAsia="Times New Roman"/>
        </w:rPr>
        <w:t>.</w:t>
      </w:r>
      <w:r>
        <w:rPr>
          <w:rFonts w:eastAsia="Times New Roman"/>
        </w:rPr>
        <w:t xml:space="preserve"> If </w:t>
      </w:r>
      <w:r w:rsidR="00D95E7D">
        <w:rPr>
          <w:rFonts w:eastAsia="Times New Roman"/>
        </w:rPr>
        <w:t xml:space="preserve">the </w:t>
      </w:r>
      <w:r>
        <w:rPr>
          <w:rFonts w:eastAsia="Times New Roman"/>
        </w:rPr>
        <w:t>most significant bits of RIV value would be set to 0, gNB can scheduled only small allocations or full BW.</w:t>
      </w:r>
    </w:p>
    <w:p w14:paraId="4A9F3F75" w14:textId="77777777" w:rsidR="004155F9" w:rsidRDefault="004155F9" w:rsidP="004155F9">
      <w:pPr>
        <w:keepNext/>
      </w:pPr>
      <w:r>
        <w:rPr>
          <w:noProof/>
        </w:rPr>
        <w:drawing>
          <wp:inline distT="0" distB="0" distL="0" distR="0" wp14:anchorId="34D9CFCB" wp14:editId="23057B6F">
            <wp:extent cx="5600700" cy="353508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4182" cy="3537280"/>
                    </a:xfrm>
                    <a:prstGeom prst="rect">
                      <a:avLst/>
                    </a:prstGeom>
                  </pic:spPr>
                </pic:pic>
              </a:graphicData>
            </a:graphic>
          </wp:inline>
        </w:drawing>
      </w:r>
      <w:bookmarkStart w:id="4" w:name="_GoBack"/>
      <w:bookmarkEnd w:id="4"/>
    </w:p>
    <w:p w14:paraId="5A52371B" w14:textId="77777777" w:rsidR="004155F9" w:rsidRDefault="004155F9" w:rsidP="004155F9">
      <w:pPr>
        <w:pStyle w:val="Caption"/>
        <w:jc w:val="center"/>
        <w:rPr>
          <w:rFonts w:eastAsia="Times New Roman"/>
        </w:rPr>
      </w:pPr>
      <w:r>
        <w:t xml:space="preserve">Figure </w:t>
      </w:r>
      <w:r>
        <w:fldChar w:fldCharType="begin"/>
      </w:r>
      <w:r>
        <w:instrText xml:space="preserve"> SEQ Figure \* ARABIC </w:instrText>
      </w:r>
      <w:r>
        <w:fldChar w:fldCharType="separate"/>
      </w:r>
      <w:r>
        <w:rPr>
          <w:noProof/>
        </w:rPr>
        <w:t>3</w:t>
      </w:r>
      <w:r>
        <w:fldChar w:fldCharType="end"/>
      </w:r>
      <w:r>
        <w:rPr>
          <w:lang w:val="en-US"/>
        </w:rPr>
        <w:t xml:space="preserve"> RB start and LRB to RIV mapping for 24RB BWP</w:t>
      </w:r>
    </w:p>
    <w:p w14:paraId="1F18EB37" w14:textId="77777777" w:rsidR="004155F9" w:rsidRDefault="004155F9" w:rsidP="004155F9">
      <w:pPr>
        <w:jc w:val="center"/>
        <w:rPr>
          <w:rFonts w:eastAsia="Times New Roman"/>
        </w:rPr>
      </w:pPr>
    </w:p>
    <w:p w14:paraId="1A045FBF" w14:textId="736E8C0D" w:rsidR="004155F9" w:rsidRPr="006A00D3" w:rsidRDefault="00FB17DA" w:rsidP="004155F9">
      <w:pPr>
        <w:jc w:val="both"/>
        <w:rPr>
          <w:rFonts w:eastAsia="Times New Roman"/>
          <w:b/>
        </w:rPr>
      </w:pPr>
      <w:r>
        <w:rPr>
          <w:rFonts w:eastAsia="Times New Roman"/>
          <w:b/>
        </w:rPr>
        <w:t>Observation</w:t>
      </w:r>
      <w:r w:rsidR="004155F9" w:rsidRPr="006A00D3">
        <w:rPr>
          <w:rFonts w:eastAsia="Times New Roman"/>
          <w:b/>
        </w:rPr>
        <w:t>: Padding the RIV</w:t>
      </w:r>
      <w:r w:rsidR="004155F9">
        <w:rPr>
          <w:rFonts w:eastAsia="Times New Roman"/>
          <w:b/>
        </w:rPr>
        <w:t xml:space="preserve"> value with zeros results in undesirable</w:t>
      </w:r>
      <w:r w:rsidR="004155F9" w:rsidRPr="006A00D3">
        <w:rPr>
          <w:rFonts w:eastAsia="Times New Roman"/>
          <w:b/>
        </w:rPr>
        <w:t xml:space="preserve"> pruning of </w:t>
      </w:r>
      <w:r w:rsidR="004155F9">
        <w:rPr>
          <w:rFonts w:eastAsia="Times New Roman"/>
          <w:b/>
        </w:rPr>
        <w:t>start and/or length values.</w:t>
      </w:r>
    </w:p>
    <w:p w14:paraId="2065D000" w14:textId="77777777" w:rsidR="009E47BD" w:rsidRPr="004155F9" w:rsidRDefault="009E47BD" w:rsidP="00DC4600"/>
    <w:sectPr w:rsidR="009E47BD" w:rsidRPr="004155F9" w:rsidSect="006C4B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B71FA" w14:textId="77777777" w:rsidR="00D3289E" w:rsidRDefault="00D3289E">
      <w:r>
        <w:separator/>
      </w:r>
    </w:p>
  </w:endnote>
  <w:endnote w:type="continuationSeparator" w:id="0">
    <w:p w14:paraId="76E297F7" w14:textId="77777777" w:rsidR="00D3289E" w:rsidRDefault="00D3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5D10C" w14:textId="77777777" w:rsidR="00D3289E" w:rsidRDefault="00D3289E">
      <w:r>
        <w:separator/>
      </w:r>
    </w:p>
  </w:footnote>
  <w:footnote w:type="continuationSeparator" w:id="0">
    <w:p w14:paraId="32E1DE3C" w14:textId="77777777" w:rsidR="00D3289E" w:rsidRDefault="00D32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92C0C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A524CD5A">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3561C2"/>
    <w:multiLevelType w:val="hybridMultilevel"/>
    <w:tmpl w:val="1520EF0E"/>
    <w:lvl w:ilvl="0" w:tplc="1CF42B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896D3F"/>
    <w:multiLevelType w:val="hybridMultilevel"/>
    <w:tmpl w:val="ABC2A936"/>
    <w:lvl w:ilvl="0" w:tplc="F718E8CA">
      <w:start w:val="1"/>
      <w:numFmt w:val="bullet"/>
      <w:lvlText w:val="-"/>
      <w:lvlJc w:val="left"/>
      <w:pPr>
        <w:tabs>
          <w:tab w:val="num" w:pos="720"/>
        </w:tabs>
        <w:ind w:left="720" w:hanging="360"/>
      </w:pPr>
      <w:rPr>
        <w:rFonts w:ascii="Lucida Grande" w:hAnsi="Lucida Grande" w:hint="default"/>
      </w:rPr>
    </w:lvl>
    <w:lvl w:ilvl="1" w:tplc="31FC0DDC">
      <w:start w:val="1"/>
      <w:numFmt w:val="bullet"/>
      <w:lvlText w:val="-"/>
      <w:lvlJc w:val="left"/>
      <w:pPr>
        <w:tabs>
          <w:tab w:val="num" w:pos="1440"/>
        </w:tabs>
        <w:ind w:left="1440" w:hanging="360"/>
      </w:pPr>
      <w:rPr>
        <w:rFonts w:ascii="Lucida Grande" w:hAnsi="Lucida Grande" w:hint="default"/>
      </w:rPr>
    </w:lvl>
    <w:lvl w:ilvl="2" w:tplc="364EA1BE">
      <w:numFmt w:val="bullet"/>
      <w:lvlText w:val="•"/>
      <w:lvlJc w:val="left"/>
      <w:pPr>
        <w:tabs>
          <w:tab w:val="num" w:pos="2160"/>
        </w:tabs>
        <w:ind w:left="2160" w:hanging="360"/>
      </w:pPr>
      <w:rPr>
        <w:rFonts w:ascii="Arial" w:hAnsi="Arial" w:hint="default"/>
      </w:rPr>
    </w:lvl>
    <w:lvl w:ilvl="3" w:tplc="868068A0">
      <w:numFmt w:val="bullet"/>
      <w:lvlText w:val="-"/>
      <w:lvlJc w:val="left"/>
      <w:pPr>
        <w:tabs>
          <w:tab w:val="num" w:pos="2880"/>
        </w:tabs>
        <w:ind w:left="2880" w:hanging="360"/>
      </w:pPr>
      <w:rPr>
        <w:rFonts w:ascii="Lucida Grande" w:hAnsi="Lucida Grande" w:hint="default"/>
      </w:rPr>
    </w:lvl>
    <w:lvl w:ilvl="4" w:tplc="30E8AFAE" w:tentative="1">
      <w:start w:val="1"/>
      <w:numFmt w:val="bullet"/>
      <w:lvlText w:val="-"/>
      <w:lvlJc w:val="left"/>
      <w:pPr>
        <w:tabs>
          <w:tab w:val="num" w:pos="3600"/>
        </w:tabs>
        <w:ind w:left="3600" w:hanging="360"/>
      </w:pPr>
      <w:rPr>
        <w:rFonts w:ascii="Lucida Grande" w:hAnsi="Lucida Grande" w:hint="default"/>
      </w:rPr>
    </w:lvl>
    <w:lvl w:ilvl="5" w:tplc="2F64654E" w:tentative="1">
      <w:start w:val="1"/>
      <w:numFmt w:val="bullet"/>
      <w:lvlText w:val="-"/>
      <w:lvlJc w:val="left"/>
      <w:pPr>
        <w:tabs>
          <w:tab w:val="num" w:pos="4320"/>
        </w:tabs>
        <w:ind w:left="4320" w:hanging="360"/>
      </w:pPr>
      <w:rPr>
        <w:rFonts w:ascii="Lucida Grande" w:hAnsi="Lucida Grande" w:hint="default"/>
      </w:rPr>
    </w:lvl>
    <w:lvl w:ilvl="6" w:tplc="C0983A10" w:tentative="1">
      <w:start w:val="1"/>
      <w:numFmt w:val="bullet"/>
      <w:lvlText w:val="-"/>
      <w:lvlJc w:val="left"/>
      <w:pPr>
        <w:tabs>
          <w:tab w:val="num" w:pos="5040"/>
        </w:tabs>
        <w:ind w:left="5040" w:hanging="360"/>
      </w:pPr>
      <w:rPr>
        <w:rFonts w:ascii="Lucida Grande" w:hAnsi="Lucida Grande" w:hint="default"/>
      </w:rPr>
    </w:lvl>
    <w:lvl w:ilvl="7" w:tplc="F20EC814" w:tentative="1">
      <w:start w:val="1"/>
      <w:numFmt w:val="bullet"/>
      <w:lvlText w:val="-"/>
      <w:lvlJc w:val="left"/>
      <w:pPr>
        <w:tabs>
          <w:tab w:val="num" w:pos="5760"/>
        </w:tabs>
        <w:ind w:left="5760" w:hanging="360"/>
      </w:pPr>
      <w:rPr>
        <w:rFonts w:ascii="Lucida Grande" w:hAnsi="Lucida Grande" w:hint="default"/>
      </w:rPr>
    </w:lvl>
    <w:lvl w:ilvl="8" w:tplc="5B5A011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7B100A"/>
    <w:multiLevelType w:val="hybridMultilevel"/>
    <w:tmpl w:val="FB06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553817"/>
    <w:multiLevelType w:val="hybridMultilevel"/>
    <w:tmpl w:val="07CC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449A8"/>
    <w:multiLevelType w:val="hybridMultilevel"/>
    <w:tmpl w:val="41B2A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D7178F"/>
    <w:multiLevelType w:val="hybridMultilevel"/>
    <w:tmpl w:val="1F984F20"/>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7" w15:restartNumberingAfterBreak="0">
    <w:nsid w:val="64042D52"/>
    <w:multiLevelType w:val="hybridMultilevel"/>
    <w:tmpl w:val="193E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0A002C"/>
    <w:multiLevelType w:val="hybridMultilevel"/>
    <w:tmpl w:val="99C6E6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12"/>
  </w:num>
  <w:num w:numId="4">
    <w:abstractNumId w:val="2"/>
  </w:num>
  <w:num w:numId="5">
    <w:abstractNumId w:val="16"/>
  </w:num>
  <w:num w:numId="6">
    <w:abstractNumId w:val="4"/>
  </w:num>
  <w:num w:numId="7">
    <w:abstractNumId w:val="18"/>
  </w:num>
  <w:num w:numId="8">
    <w:abstractNumId w:val="14"/>
  </w:num>
  <w:num w:numId="9">
    <w:abstractNumId w:val="6"/>
  </w:num>
  <w:num w:numId="10">
    <w:abstractNumId w:val="9"/>
  </w:num>
  <w:num w:numId="11">
    <w:abstractNumId w:val="6"/>
  </w:num>
  <w:num w:numId="12">
    <w:abstractNumId w:val="22"/>
  </w:num>
  <w:num w:numId="13">
    <w:abstractNumId w:val="19"/>
  </w:num>
  <w:num w:numId="14">
    <w:abstractNumId w:val="5"/>
  </w:num>
  <w:num w:numId="15">
    <w:abstractNumId w:val="1"/>
  </w:num>
  <w:num w:numId="16">
    <w:abstractNumId w:val="17"/>
  </w:num>
  <w:num w:numId="17">
    <w:abstractNumId w:val="0"/>
  </w:num>
  <w:num w:numId="18">
    <w:abstractNumId w:val="13"/>
  </w:num>
  <w:num w:numId="19">
    <w:abstractNumId w:val="3"/>
  </w:num>
  <w:num w:numId="20">
    <w:abstractNumId w:val="10"/>
  </w:num>
  <w:num w:numId="21">
    <w:abstractNumId w:val="15"/>
  </w:num>
  <w:num w:numId="22">
    <w:abstractNumId w:val="20"/>
  </w:num>
  <w:num w:numId="23">
    <w:abstractNumId w:val="8"/>
  </w:num>
  <w:num w:numId="24">
    <w:abstractNumId w:val="21"/>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6E0D"/>
    <w:rsid w:val="000074C4"/>
    <w:rsid w:val="000079A6"/>
    <w:rsid w:val="00010E2C"/>
    <w:rsid w:val="00011299"/>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6B78"/>
    <w:rsid w:val="00017B7F"/>
    <w:rsid w:val="00017EDA"/>
    <w:rsid w:val="000212A5"/>
    <w:rsid w:val="00021C4A"/>
    <w:rsid w:val="00022B8C"/>
    <w:rsid w:val="00023742"/>
    <w:rsid w:val="00024AEF"/>
    <w:rsid w:val="00026C65"/>
    <w:rsid w:val="00026E5F"/>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4F"/>
    <w:rsid w:val="00052BBA"/>
    <w:rsid w:val="00053588"/>
    <w:rsid w:val="00054D9D"/>
    <w:rsid w:val="00055676"/>
    <w:rsid w:val="00056454"/>
    <w:rsid w:val="00056544"/>
    <w:rsid w:val="00060D8E"/>
    <w:rsid w:val="00062159"/>
    <w:rsid w:val="0006296A"/>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0544"/>
    <w:rsid w:val="00081EC2"/>
    <w:rsid w:val="00082154"/>
    <w:rsid w:val="00083800"/>
    <w:rsid w:val="00084596"/>
    <w:rsid w:val="00084A65"/>
    <w:rsid w:val="0008559A"/>
    <w:rsid w:val="000902C2"/>
    <w:rsid w:val="00090739"/>
    <w:rsid w:val="00090FA0"/>
    <w:rsid w:val="00091A92"/>
    <w:rsid w:val="000928D4"/>
    <w:rsid w:val="00093C49"/>
    <w:rsid w:val="000944CB"/>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2FCF"/>
    <w:rsid w:val="000B3B91"/>
    <w:rsid w:val="000B3BA2"/>
    <w:rsid w:val="000B4207"/>
    <w:rsid w:val="000B4B1B"/>
    <w:rsid w:val="000B50C3"/>
    <w:rsid w:val="000B5AC9"/>
    <w:rsid w:val="000B5F0A"/>
    <w:rsid w:val="000C1D59"/>
    <w:rsid w:val="000C2B09"/>
    <w:rsid w:val="000C30CF"/>
    <w:rsid w:val="000C501D"/>
    <w:rsid w:val="000C5CBA"/>
    <w:rsid w:val="000C74BA"/>
    <w:rsid w:val="000C7531"/>
    <w:rsid w:val="000C7C3F"/>
    <w:rsid w:val="000C7E0F"/>
    <w:rsid w:val="000D0086"/>
    <w:rsid w:val="000D0BD6"/>
    <w:rsid w:val="000D0C61"/>
    <w:rsid w:val="000D27AD"/>
    <w:rsid w:val="000D29D1"/>
    <w:rsid w:val="000D2B0A"/>
    <w:rsid w:val="000D3286"/>
    <w:rsid w:val="000D344D"/>
    <w:rsid w:val="000D40E7"/>
    <w:rsid w:val="000D584F"/>
    <w:rsid w:val="000D68A0"/>
    <w:rsid w:val="000D76BC"/>
    <w:rsid w:val="000D7750"/>
    <w:rsid w:val="000D7B78"/>
    <w:rsid w:val="000E071E"/>
    <w:rsid w:val="000E07EC"/>
    <w:rsid w:val="000E0DEE"/>
    <w:rsid w:val="000E0FB7"/>
    <w:rsid w:val="000E181D"/>
    <w:rsid w:val="000E27AA"/>
    <w:rsid w:val="000E337A"/>
    <w:rsid w:val="000E34FD"/>
    <w:rsid w:val="000E4350"/>
    <w:rsid w:val="000E4376"/>
    <w:rsid w:val="000E4408"/>
    <w:rsid w:val="000E5716"/>
    <w:rsid w:val="000E7A79"/>
    <w:rsid w:val="000F15B2"/>
    <w:rsid w:val="000F19DE"/>
    <w:rsid w:val="000F2E1F"/>
    <w:rsid w:val="000F37B0"/>
    <w:rsid w:val="000F3E0E"/>
    <w:rsid w:val="000F3E12"/>
    <w:rsid w:val="000F4595"/>
    <w:rsid w:val="000F4CB2"/>
    <w:rsid w:val="000F4E44"/>
    <w:rsid w:val="000F4E90"/>
    <w:rsid w:val="000F568D"/>
    <w:rsid w:val="000F68D0"/>
    <w:rsid w:val="000F6B15"/>
    <w:rsid w:val="0010170B"/>
    <w:rsid w:val="00101C4F"/>
    <w:rsid w:val="00102C5A"/>
    <w:rsid w:val="00102C9F"/>
    <w:rsid w:val="001068D2"/>
    <w:rsid w:val="001069F2"/>
    <w:rsid w:val="00107417"/>
    <w:rsid w:val="001103BD"/>
    <w:rsid w:val="00111208"/>
    <w:rsid w:val="001115E4"/>
    <w:rsid w:val="00111808"/>
    <w:rsid w:val="0011339F"/>
    <w:rsid w:val="00113B8F"/>
    <w:rsid w:val="00113EC8"/>
    <w:rsid w:val="00114E96"/>
    <w:rsid w:val="00114F74"/>
    <w:rsid w:val="001152C7"/>
    <w:rsid w:val="00115C88"/>
    <w:rsid w:val="0011644A"/>
    <w:rsid w:val="00117332"/>
    <w:rsid w:val="0011784B"/>
    <w:rsid w:val="001204DD"/>
    <w:rsid w:val="00121493"/>
    <w:rsid w:val="00122839"/>
    <w:rsid w:val="00122B7B"/>
    <w:rsid w:val="001237AC"/>
    <w:rsid w:val="00123EE2"/>
    <w:rsid w:val="00124E12"/>
    <w:rsid w:val="00124E75"/>
    <w:rsid w:val="0012673D"/>
    <w:rsid w:val="001269B8"/>
    <w:rsid w:val="00126A02"/>
    <w:rsid w:val="00127099"/>
    <w:rsid w:val="00131BA8"/>
    <w:rsid w:val="00132830"/>
    <w:rsid w:val="00132B71"/>
    <w:rsid w:val="0013427A"/>
    <w:rsid w:val="00134B36"/>
    <w:rsid w:val="00134D55"/>
    <w:rsid w:val="00135FA5"/>
    <w:rsid w:val="001360F3"/>
    <w:rsid w:val="001362C2"/>
    <w:rsid w:val="0013678C"/>
    <w:rsid w:val="00136955"/>
    <w:rsid w:val="00136E19"/>
    <w:rsid w:val="001371B2"/>
    <w:rsid w:val="00137AB9"/>
    <w:rsid w:val="00137D78"/>
    <w:rsid w:val="0014060C"/>
    <w:rsid w:val="001409A0"/>
    <w:rsid w:val="00140CEC"/>
    <w:rsid w:val="001418D9"/>
    <w:rsid w:val="00141CBA"/>
    <w:rsid w:val="00141E40"/>
    <w:rsid w:val="00141F08"/>
    <w:rsid w:val="00141FF2"/>
    <w:rsid w:val="0014287A"/>
    <w:rsid w:val="00142DE2"/>
    <w:rsid w:val="00144C87"/>
    <w:rsid w:val="001467B1"/>
    <w:rsid w:val="00150109"/>
    <w:rsid w:val="00150175"/>
    <w:rsid w:val="001502C8"/>
    <w:rsid w:val="00151011"/>
    <w:rsid w:val="00151224"/>
    <w:rsid w:val="00151284"/>
    <w:rsid w:val="0015130F"/>
    <w:rsid w:val="001521C9"/>
    <w:rsid w:val="00152F8E"/>
    <w:rsid w:val="001532BA"/>
    <w:rsid w:val="00155B98"/>
    <w:rsid w:val="00155BFD"/>
    <w:rsid w:val="00156ABA"/>
    <w:rsid w:val="00157390"/>
    <w:rsid w:val="00160998"/>
    <w:rsid w:val="00160CD6"/>
    <w:rsid w:val="00160F5F"/>
    <w:rsid w:val="0016100A"/>
    <w:rsid w:val="00162308"/>
    <w:rsid w:val="00162A09"/>
    <w:rsid w:val="0016316A"/>
    <w:rsid w:val="0016381F"/>
    <w:rsid w:val="00163D1D"/>
    <w:rsid w:val="00164171"/>
    <w:rsid w:val="00164E58"/>
    <w:rsid w:val="00165033"/>
    <w:rsid w:val="001665EB"/>
    <w:rsid w:val="001670EA"/>
    <w:rsid w:val="001674A0"/>
    <w:rsid w:val="00170A50"/>
    <w:rsid w:val="00174FFD"/>
    <w:rsid w:val="001759CA"/>
    <w:rsid w:val="001769A8"/>
    <w:rsid w:val="0017726A"/>
    <w:rsid w:val="00177DD3"/>
    <w:rsid w:val="00180278"/>
    <w:rsid w:val="001807F2"/>
    <w:rsid w:val="001818A7"/>
    <w:rsid w:val="001823CD"/>
    <w:rsid w:val="00182725"/>
    <w:rsid w:val="001829C8"/>
    <w:rsid w:val="00186904"/>
    <w:rsid w:val="00186B0A"/>
    <w:rsid w:val="001905BD"/>
    <w:rsid w:val="00192FE6"/>
    <w:rsid w:val="0019360B"/>
    <w:rsid w:val="00193986"/>
    <w:rsid w:val="00193B08"/>
    <w:rsid w:val="00194570"/>
    <w:rsid w:val="00196530"/>
    <w:rsid w:val="00196BF4"/>
    <w:rsid w:val="001972DA"/>
    <w:rsid w:val="001976AA"/>
    <w:rsid w:val="00197B29"/>
    <w:rsid w:val="001A02F6"/>
    <w:rsid w:val="001A0783"/>
    <w:rsid w:val="001A15C6"/>
    <w:rsid w:val="001A1E08"/>
    <w:rsid w:val="001A50AE"/>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4516"/>
    <w:rsid w:val="001C5296"/>
    <w:rsid w:val="001C5872"/>
    <w:rsid w:val="001C66AC"/>
    <w:rsid w:val="001C6754"/>
    <w:rsid w:val="001C6852"/>
    <w:rsid w:val="001C77F0"/>
    <w:rsid w:val="001D1932"/>
    <w:rsid w:val="001D30C9"/>
    <w:rsid w:val="001D43C5"/>
    <w:rsid w:val="001D445B"/>
    <w:rsid w:val="001D46A0"/>
    <w:rsid w:val="001D50C2"/>
    <w:rsid w:val="001D63A6"/>
    <w:rsid w:val="001D758B"/>
    <w:rsid w:val="001D7CA4"/>
    <w:rsid w:val="001D7E58"/>
    <w:rsid w:val="001E0B0A"/>
    <w:rsid w:val="001E13B3"/>
    <w:rsid w:val="001E2DA0"/>
    <w:rsid w:val="001E30A0"/>
    <w:rsid w:val="001E3268"/>
    <w:rsid w:val="001E3DE1"/>
    <w:rsid w:val="001E4D4F"/>
    <w:rsid w:val="001E54F9"/>
    <w:rsid w:val="001E57CF"/>
    <w:rsid w:val="001E5981"/>
    <w:rsid w:val="001E6826"/>
    <w:rsid w:val="001E6E8E"/>
    <w:rsid w:val="001E74BA"/>
    <w:rsid w:val="001E7B9F"/>
    <w:rsid w:val="001E7FC6"/>
    <w:rsid w:val="001F01FB"/>
    <w:rsid w:val="001F0658"/>
    <w:rsid w:val="001F0C29"/>
    <w:rsid w:val="001F0E92"/>
    <w:rsid w:val="001F1987"/>
    <w:rsid w:val="001F21BC"/>
    <w:rsid w:val="001F23BD"/>
    <w:rsid w:val="001F34DA"/>
    <w:rsid w:val="001F475D"/>
    <w:rsid w:val="001F4DAC"/>
    <w:rsid w:val="001F5019"/>
    <w:rsid w:val="001F51C5"/>
    <w:rsid w:val="001F65B0"/>
    <w:rsid w:val="001F67AA"/>
    <w:rsid w:val="001F6AFD"/>
    <w:rsid w:val="001F7599"/>
    <w:rsid w:val="001F7BD7"/>
    <w:rsid w:val="002016AA"/>
    <w:rsid w:val="00204A2A"/>
    <w:rsid w:val="00204B22"/>
    <w:rsid w:val="00204B3A"/>
    <w:rsid w:val="0020535A"/>
    <w:rsid w:val="002055CB"/>
    <w:rsid w:val="002059EF"/>
    <w:rsid w:val="00205BDB"/>
    <w:rsid w:val="00206955"/>
    <w:rsid w:val="00210080"/>
    <w:rsid w:val="00210309"/>
    <w:rsid w:val="00211519"/>
    <w:rsid w:val="0021224B"/>
    <w:rsid w:val="00212FB8"/>
    <w:rsid w:val="00213709"/>
    <w:rsid w:val="00214025"/>
    <w:rsid w:val="002149AF"/>
    <w:rsid w:val="00214A86"/>
    <w:rsid w:val="00215AAA"/>
    <w:rsid w:val="0021683C"/>
    <w:rsid w:val="00216F5F"/>
    <w:rsid w:val="00220615"/>
    <w:rsid w:val="00221985"/>
    <w:rsid w:val="00221EC5"/>
    <w:rsid w:val="00222A7A"/>
    <w:rsid w:val="0022352B"/>
    <w:rsid w:val="00224A2C"/>
    <w:rsid w:val="00225217"/>
    <w:rsid w:val="002256D9"/>
    <w:rsid w:val="00226577"/>
    <w:rsid w:val="0022687C"/>
    <w:rsid w:val="002306F8"/>
    <w:rsid w:val="00230CCC"/>
    <w:rsid w:val="00230F55"/>
    <w:rsid w:val="002312F4"/>
    <w:rsid w:val="002313A2"/>
    <w:rsid w:val="00231FC7"/>
    <w:rsid w:val="00232930"/>
    <w:rsid w:val="00232A95"/>
    <w:rsid w:val="00232DD9"/>
    <w:rsid w:val="0023308F"/>
    <w:rsid w:val="00233403"/>
    <w:rsid w:val="00233440"/>
    <w:rsid w:val="00233D0E"/>
    <w:rsid w:val="00234E80"/>
    <w:rsid w:val="00235D4D"/>
    <w:rsid w:val="00236450"/>
    <w:rsid w:val="0023652F"/>
    <w:rsid w:val="0023765A"/>
    <w:rsid w:val="00237921"/>
    <w:rsid w:val="00240342"/>
    <w:rsid w:val="0024077C"/>
    <w:rsid w:val="00241124"/>
    <w:rsid w:val="00241311"/>
    <w:rsid w:val="002418E8"/>
    <w:rsid w:val="00241C23"/>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575C0"/>
    <w:rsid w:val="00260AEE"/>
    <w:rsid w:val="00262254"/>
    <w:rsid w:val="00262661"/>
    <w:rsid w:val="00262D9D"/>
    <w:rsid w:val="002632DF"/>
    <w:rsid w:val="00263946"/>
    <w:rsid w:val="002640BA"/>
    <w:rsid w:val="00264CF2"/>
    <w:rsid w:val="002667A8"/>
    <w:rsid w:val="00267587"/>
    <w:rsid w:val="002675C8"/>
    <w:rsid w:val="00267760"/>
    <w:rsid w:val="00271589"/>
    <w:rsid w:val="00273177"/>
    <w:rsid w:val="002735A1"/>
    <w:rsid w:val="00273D6A"/>
    <w:rsid w:val="0027455B"/>
    <w:rsid w:val="00275074"/>
    <w:rsid w:val="002763E9"/>
    <w:rsid w:val="00276736"/>
    <w:rsid w:val="00276F4E"/>
    <w:rsid w:val="00277253"/>
    <w:rsid w:val="0027773D"/>
    <w:rsid w:val="002824C2"/>
    <w:rsid w:val="00284E32"/>
    <w:rsid w:val="002851EB"/>
    <w:rsid w:val="00285510"/>
    <w:rsid w:val="00285BD1"/>
    <w:rsid w:val="00285DE2"/>
    <w:rsid w:val="0028616D"/>
    <w:rsid w:val="00286965"/>
    <w:rsid w:val="0029136E"/>
    <w:rsid w:val="00292399"/>
    <w:rsid w:val="00294445"/>
    <w:rsid w:val="002945F2"/>
    <w:rsid w:val="00294B4D"/>
    <w:rsid w:val="0029537E"/>
    <w:rsid w:val="002960D5"/>
    <w:rsid w:val="00297926"/>
    <w:rsid w:val="002A02C9"/>
    <w:rsid w:val="002A0FC4"/>
    <w:rsid w:val="002A1062"/>
    <w:rsid w:val="002A2012"/>
    <w:rsid w:val="002A2413"/>
    <w:rsid w:val="002A2F5E"/>
    <w:rsid w:val="002A352A"/>
    <w:rsid w:val="002A38E3"/>
    <w:rsid w:val="002A607D"/>
    <w:rsid w:val="002A6DEA"/>
    <w:rsid w:val="002B132E"/>
    <w:rsid w:val="002B1499"/>
    <w:rsid w:val="002B2813"/>
    <w:rsid w:val="002B2D29"/>
    <w:rsid w:val="002B3BBD"/>
    <w:rsid w:val="002B58E3"/>
    <w:rsid w:val="002C0C4B"/>
    <w:rsid w:val="002C1EEA"/>
    <w:rsid w:val="002C42B3"/>
    <w:rsid w:val="002C47AD"/>
    <w:rsid w:val="002C5510"/>
    <w:rsid w:val="002C5B5D"/>
    <w:rsid w:val="002C6034"/>
    <w:rsid w:val="002C635B"/>
    <w:rsid w:val="002C770F"/>
    <w:rsid w:val="002C7CFF"/>
    <w:rsid w:val="002D076C"/>
    <w:rsid w:val="002D0BC6"/>
    <w:rsid w:val="002D17C5"/>
    <w:rsid w:val="002D365F"/>
    <w:rsid w:val="002D51DF"/>
    <w:rsid w:val="002D5889"/>
    <w:rsid w:val="002D6892"/>
    <w:rsid w:val="002D68C2"/>
    <w:rsid w:val="002D7C86"/>
    <w:rsid w:val="002E0692"/>
    <w:rsid w:val="002E1D74"/>
    <w:rsid w:val="002E2943"/>
    <w:rsid w:val="002E2CF1"/>
    <w:rsid w:val="002E34AF"/>
    <w:rsid w:val="002E4AAC"/>
    <w:rsid w:val="002E53DE"/>
    <w:rsid w:val="002E563B"/>
    <w:rsid w:val="002E59A0"/>
    <w:rsid w:val="002E62D2"/>
    <w:rsid w:val="002E734F"/>
    <w:rsid w:val="002E74AF"/>
    <w:rsid w:val="002E758C"/>
    <w:rsid w:val="002F1038"/>
    <w:rsid w:val="002F22FF"/>
    <w:rsid w:val="002F2D8F"/>
    <w:rsid w:val="002F3444"/>
    <w:rsid w:val="002F4D51"/>
    <w:rsid w:val="002F503B"/>
    <w:rsid w:val="002F54B1"/>
    <w:rsid w:val="002F5755"/>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BB1"/>
    <w:rsid w:val="00311C08"/>
    <w:rsid w:val="003120ED"/>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669A"/>
    <w:rsid w:val="00337810"/>
    <w:rsid w:val="00340361"/>
    <w:rsid w:val="00340795"/>
    <w:rsid w:val="0034111C"/>
    <w:rsid w:val="00341E60"/>
    <w:rsid w:val="00341E87"/>
    <w:rsid w:val="0034217F"/>
    <w:rsid w:val="003428D2"/>
    <w:rsid w:val="00342AD2"/>
    <w:rsid w:val="00343954"/>
    <w:rsid w:val="0034427C"/>
    <w:rsid w:val="00345405"/>
    <w:rsid w:val="00345B27"/>
    <w:rsid w:val="00345DDD"/>
    <w:rsid w:val="0034689B"/>
    <w:rsid w:val="00346FED"/>
    <w:rsid w:val="00351E01"/>
    <w:rsid w:val="00352968"/>
    <w:rsid w:val="0035298B"/>
    <w:rsid w:val="00352D21"/>
    <w:rsid w:val="0035443D"/>
    <w:rsid w:val="00354861"/>
    <w:rsid w:val="00354FEE"/>
    <w:rsid w:val="0035544D"/>
    <w:rsid w:val="00356275"/>
    <w:rsid w:val="00356C0B"/>
    <w:rsid w:val="003578D2"/>
    <w:rsid w:val="00357B9C"/>
    <w:rsid w:val="00360C62"/>
    <w:rsid w:val="00361412"/>
    <w:rsid w:val="003615CA"/>
    <w:rsid w:val="00363B2C"/>
    <w:rsid w:val="003642A6"/>
    <w:rsid w:val="00364763"/>
    <w:rsid w:val="00364FFF"/>
    <w:rsid w:val="00365C3D"/>
    <w:rsid w:val="00367337"/>
    <w:rsid w:val="00367367"/>
    <w:rsid w:val="00367FD8"/>
    <w:rsid w:val="0037004E"/>
    <w:rsid w:val="00370B63"/>
    <w:rsid w:val="00370C08"/>
    <w:rsid w:val="00370FCC"/>
    <w:rsid w:val="003711AF"/>
    <w:rsid w:val="003735C6"/>
    <w:rsid w:val="00374848"/>
    <w:rsid w:val="003757A1"/>
    <w:rsid w:val="00375A94"/>
    <w:rsid w:val="00375D09"/>
    <w:rsid w:val="003762DC"/>
    <w:rsid w:val="0037739D"/>
    <w:rsid w:val="0037751C"/>
    <w:rsid w:val="00380B66"/>
    <w:rsid w:val="00380F3F"/>
    <w:rsid w:val="00381953"/>
    <w:rsid w:val="00382232"/>
    <w:rsid w:val="00382F1A"/>
    <w:rsid w:val="00383282"/>
    <w:rsid w:val="00383422"/>
    <w:rsid w:val="00383658"/>
    <w:rsid w:val="0038412E"/>
    <w:rsid w:val="003844F0"/>
    <w:rsid w:val="00386053"/>
    <w:rsid w:val="0038771D"/>
    <w:rsid w:val="003902C9"/>
    <w:rsid w:val="00390935"/>
    <w:rsid w:val="00392491"/>
    <w:rsid w:val="003935B0"/>
    <w:rsid w:val="00393E44"/>
    <w:rsid w:val="00394301"/>
    <w:rsid w:val="003961F0"/>
    <w:rsid w:val="0039747B"/>
    <w:rsid w:val="00397AB6"/>
    <w:rsid w:val="00397ACA"/>
    <w:rsid w:val="003A10C3"/>
    <w:rsid w:val="003A4A40"/>
    <w:rsid w:val="003A4C7C"/>
    <w:rsid w:val="003A5611"/>
    <w:rsid w:val="003A5844"/>
    <w:rsid w:val="003A597F"/>
    <w:rsid w:val="003A71A8"/>
    <w:rsid w:val="003A71D2"/>
    <w:rsid w:val="003A7846"/>
    <w:rsid w:val="003B00CA"/>
    <w:rsid w:val="003B030B"/>
    <w:rsid w:val="003B0432"/>
    <w:rsid w:val="003B0821"/>
    <w:rsid w:val="003B0BE9"/>
    <w:rsid w:val="003B0F4B"/>
    <w:rsid w:val="003B2D5D"/>
    <w:rsid w:val="003B2E9B"/>
    <w:rsid w:val="003B2F8D"/>
    <w:rsid w:val="003B3C64"/>
    <w:rsid w:val="003B3D3E"/>
    <w:rsid w:val="003B4405"/>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1DF6"/>
    <w:rsid w:val="003D232D"/>
    <w:rsid w:val="003D2938"/>
    <w:rsid w:val="003D3FBA"/>
    <w:rsid w:val="003D402B"/>
    <w:rsid w:val="003D54B0"/>
    <w:rsid w:val="003D764F"/>
    <w:rsid w:val="003E0042"/>
    <w:rsid w:val="003E0667"/>
    <w:rsid w:val="003E0BCE"/>
    <w:rsid w:val="003E13E0"/>
    <w:rsid w:val="003E1660"/>
    <w:rsid w:val="003E17CD"/>
    <w:rsid w:val="003E1CD1"/>
    <w:rsid w:val="003E2A2D"/>
    <w:rsid w:val="003E2F89"/>
    <w:rsid w:val="003E47D4"/>
    <w:rsid w:val="003E50B9"/>
    <w:rsid w:val="003E64A9"/>
    <w:rsid w:val="003E7905"/>
    <w:rsid w:val="003F0336"/>
    <w:rsid w:val="003F5547"/>
    <w:rsid w:val="003F5C40"/>
    <w:rsid w:val="003F6CC5"/>
    <w:rsid w:val="003F6E12"/>
    <w:rsid w:val="003F6F8B"/>
    <w:rsid w:val="003F75ED"/>
    <w:rsid w:val="004002B7"/>
    <w:rsid w:val="00400F31"/>
    <w:rsid w:val="004023BA"/>
    <w:rsid w:val="0040302D"/>
    <w:rsid w:val="00406B4D"/>
    <w:rsid w:val="004073D6"/>
    <w:rsid w:val="0041184F"/>
    <w:rsid w:val="0041443C"/>
    <w:rsid w:val="0041488F"/>
    <w:rsid w:val="004154F7"/>
    <w:rsid w:val="004155F9"/>
    <w:rsid w:val="00416D44"/>
    <w:rsid w:val="004176FF"/>
    <w:rsid w:val="00421A27"/>
    <w:rsid w:val="00421D0A"/>
    <w:rsid w:val="004226C3"/>
    <w:rsid w:val="00423AB6"/>
    <w:rsid w:val="004241C5"/>
    <w:rsid w:val="00424FA7"/>
    <w:rsid w:val="00425D2C"/>
    <w:rsid w:val="00426A87"/>
    <w:rsid w:val="004309D8"/>
    <w:rsid w:val="004313D1"/>
    <w:rsid w:val="00431485"/>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57E0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779E5"/>
    <w:rsid w:val="0048076D"/>
    <w:rsid w:val="00481624"/>
    <w:rsid w:val="00481765"/>
    <w:rsid w:val="00481D90"/>
    <w:rsid w:val="00482603"/>
    <w:rsid w:val="00482700"/>
    <w:rsid w:val="00482CD4"/>
    <w:rsid w:val="00483261"/>
    <w:rsid w:val="0048328A"/>
    <w:rsid w:val="00485B23"/>
    <w:rsid w:val="004874E4"/>
    <w:rsid w:val="00487CC1"/>
    <w:rsid w:val="0049070D"/>
    <w:rsid w:val="00490A39"/>
    <w:rsid w:val="00490E82"/>
    <w:rsid w:val="00491BE4"/>
    <w:rsid w:val="00491DB2"/>
    <w:rsid w:val="00492877"/>
    <w:rsid w:val="00495BA6"/>
    <w:rsid w:val="0049611C"/>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0A3"/>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B14"/>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4F6F4B"/>
    <w:rsid w:val="00500572"/>
    <w:rsid w:val="00500701"/>
    <w:rsid w:val="00501304"/>
    <w:rsid w:val="00501425"/>
    <w:rsid w:val="0050318B"/>
    <w:rsid w:val="00503356"/>
    <w:rsid w:val="00503CF2"/>
    <w:rsid w:val="00504311"/>
    <w:rsid w:val="0050485C"/>
    <w:rsid w:val="00504AC6"/>
    <w:rsid w:val="00504D75"/>
    <w:rsid w:val="00505D51"/>
    <w:rsid w:val="00505F55"/>
    <w:rsid w:val="0050639A"/>
    <w:rsid w:val="00510ABC"/>
    <w:rsid w:val="00511079"/>
    <w:rsid w:val="00511411"/>
    <w:rsid w:val="00511CDF"/>
    <w:rsid w:val="00512829"/>
    <w:rsid w:val="00513839"/>
    <w:rsid w:val="00513DEF"/>
    <w:rsid w:val="0051423C"/>
    <w:rsid w:val="005148D4"/>
    <w:rsid w:val="00514C91"/>
    <w:rsid w:val="005153CE"/>
    <w:rsid w:val="005160E3"/>
    <w:rsid w:val="00516241"/>
    <w:rsid w:val="00516FD9"/>
    <w:rsid w:val="0051791D"/>
    <w:rsid w:val="00520D6D"/>
    <w:rsid w:val="005212FD"/>
    <w:rsid w:val="00521425"/>
    <w:rsid w:val="00521E23"/>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BD6"/>
    <w:rsid w:val="00543EBB"/>
    <w:rsid w:val="00544213"/>
    <w:rsid w:val="005453F3"/>
    <w:rsid w:val="00545549"/>
    <w:rsid w:val="005469F5"/>
    <w:rsid w:val="00546F36"/>
    <w:rsid w:val="005518ED"/>
    <w:rsid w:val="00552093"/>
    <w:rsid w:val="00552FFC"/>
    <w:rsid w:val="00554C49"/>
    <w:rsid w:val="00554E06"/>
    <w:rsid w:val="00554E4B"/>
    <w:rsid w:val="0055519C"/>
    <w:rsid w:val="00555F67"/>
    <w:rsid w:val="00556E32"/>
    <w:rsid w:val="005604F1"/>
    <w:rsid w:val="005606A4"/>
    <w:rsid w:val="005607B8"/>
    <w:rsid w:val="00560ADE"/>
    <w:rsid w:val="00560CF5"/>
    <w:rsid w:val="005612FB"/>
    <w:rsid w:val="0056272D"/>
    <w:rsid w:val="00562BAB"/>
    <w:rsid w:val="0056308E"/>
    <w:rsid w:val="005638C1"/>
    <w:rsid w:val="00563E5B"/>
    <w:rsid w:val="00563F16"/>
    <w:rsid w:val="0056415C"/>
    <w:rsid w:val="005649BF"/>
    <w:rsid w:val="005650ED"/>
    <w:rsid w:val="00565869"/>
    <w:rsid w:val="00567415"/>
    <w:rsid w:val="00567610"/>
    <w:rsid w:val="00570D9F"/>
    <w:rsid w:val="0057185C"/>
    <w:rsid w:val="00571CA8"/>
    <w:rsid w:val="00572947"/>
    <w:rsid w:val="005734A7"/>
    <w:rsid w:val="00573853"/>
    <w:rsid w:val="00573EE5"/>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788"/>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08D3"/>
    <w:rsid w:val="005B3C6D"/>
    <w:rsid w:val="005B4045"/>
    <w:rsid w:val="005B609E"/>
    <w:rsid w:val="005B6DF6"/>
    <w:rsid w:val="005B7B7D"/>
    <w:rsid w:val="005C1948"/>
    <w:rsid w:val="005C22F9"/>
    <w:rsid w:val="005C263C"/>
    <w:rsid w:val="005C2679"/>
    <w:rsid w:val="005C2785"/>
    <w:rsid w:val="005C298C"/>
    <w:rsid w:val="005C5870"/>
    <w:rsid w:val="005D059A"/>
    <w:rsid w:val="005D07C5"/>
    <w:rsid w:val="005D101E"/>
    <w:rsid w:val="005D1B4D"/>
    <w:rsid w:val="005D1B7F"/>
    <w:rsid w:val="005D21B7"/>
    <w:rsid w:val="005D320D"/>
    <w:rsid w:val="005D4302"/>
    <w:rsid w:val="005D5A20"/>
    <w:rsid w:val="005D630B"/>
    <w:rsid w:val="005D786C"/>
    <w:rsid w:val="005E00E5"/>
    <w:rsid w:val="005E0148"/>
    <w:rsid w:val="005E049F"/>
    <w:rsid w:val="005E0BB6"/>
    <w:rsid w:val="005E3073"/>
    <w:rsid w:val="005E316A"/>
    <w:rsid w:val="005E3AF1"/>
    <w:rsid w:val="005E6A63"/>
    <w:rsid w:val="005E7088"/>
    <w:rsid w:val="005E7E1B"/>
    <w:rsid w:val="005F0108"/>
    <w:rsid w:val="005F0ECC"/>
    <w:rsid w:val="005F21A5"/>
    <w:rsid w:val="005F2470"/>
    <w:rsid w:val="005F26D5"/>
    <w:rsid w:val="005F28C6"/>
    <w:rsid w:val="005F3F16"/>
    <w:rsid w:val="005F4295"/>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A5F"/>
    <w:rsid w:val="00604DE1"/>
    <w:rsid w:val="006060C2"/>
    <w:rsid w:val="00606A26"/>
    <w:rsid w:val="00607D81"/>
    <w:rsid w:val="00610747"/>
    <w:rsid w:val="00610E03"/>
    <w:rsid w:val="0061176E"/>
    <w:rsid w:val="00614CD1"/>
    <w:rsid w:val="006151F2"/>
    <w:rsid w:val="0061567B"/>
    <w:rsid w:val="00615AC8"/>
    <w:rsid w:val="00616A45"/>
    <w:rsid w:val="0062152A"/>
    <w:rsid w:val="006219D6"/>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1967"/>
    <w:rsid w:val="00652578"/>
    <w:rsid w:val="006539E8"/>
    <w:rsid w:val="00654CBC"/>
    <w:rsid w:val="00655AB5"/>
    <w:rsid w:val="006565D8"/>
    <w:rsid w:val="00656B96"/>
    <w:rsid w:val="00656F79"/>
    <w:rsid w:val="0065736B"/>
    <w:rsid w:val="006578E4"/>
    <w:rsid w:val="00657AE5"/>
    <w:rsid w:val="006616ED"/>
    <w:rsid w:val="006619B0"/>
    <w:rsid w:val="00662012"/>
    <w:rsid w:val="00662543"/>
    <w:rsid w:val="006626D0"/>
    <w:rsid w:val="006628E9"/>
    <w:rsid w:val="006641F4"/>
    <w:rsid w:val="00664E8C"/>
    <w:rsid w:val="00665F7C"/>
    <w:rsid w:val="00666460"/>
    <w:rsid w:val="0066672F"/>
    <w:rsid w:val="0066699A"/>
    <w:rsid w:val="00666DFC"/>
    <w:rsid w:val="00666EBB"/>
    <w:rsid w:val="0066779E"/>
    <w:rsid w:val="00667FAF"/>
    <w:rsid w:val="0067096D"/>
    <w:rsid w:val="00670AF4"/>
    <w:rsid w:val="006719E0"/>
    <w:rsid w:val="006724C2"/>
    <w:rsid w:val="0067258D"/>
    <w:rsid w:val="0067269D"/>
    <w:rsid w:val="00672988"/>
    <w:rsid w:val="00672C64"/>
    <w:rsid w:val="00674E6A"/>
    <w:rsid w:val="00675CF4"/>
    <w:rsid w:val="00676A64"/>
    <w:rsid w:val="00677925"/>
    <w:rsid w:val="00680F46"/>
    <w:rsid w:val="0068135E"/>
    <w:rsid w:val="00681FDC"/>
    <w:rsid w:val="00682542"/>
    <w:rsid w:val="00682B53"/>
    <w:rsid w:val="00682F27"/>
    <w:rsid w:val="006859DB"/>
    <w:rsid w:val="0068678D"/>
    <w:rsid w:val="00687488"/>
    <w:rsid w:val="006904ED"/>
    <w:rsid w:val="00690E2E"/>
    <w:rsid w:val="006915D7"/>
    <w:rsid w:val="00692814"/>
    <w:rsid w:val="006932E7"/>
    <w:rsid w:val="00693347"/>
    <w:rsid w:val="0069334C"/>
    <w:rsid w:val="006969FD"/>
    <w:rsid w:val="00696D63"/>
    <w:rsid w:val="006A032F"/>
    <w:rsid w:val="006A146E"/>
    <w:rsid w:val="006A1BEB"/>
    <w:rsid w:val="006A41AE"/>
    <w:rsid w:val="006A4856"/>
    <w:rsid w:val="006A4B51"/>
    <w:rsid w:val="006A5474"/>
    <w:rsid w:val="006A564B"/>
    <w:rsid w:val="006B05B5"/>
    <w:rsid w:val="006B1545"/>
    <w:rsid w:val="006B23B9"/>
    <w:rsid w:val="006B2DA7"/>
    <w:rsid w:val="006B2F4D"/>
    <w:rsid w:val="006B3682"/>
    <w:rsid w:val="006B3974"/>
    <w:rsid w:val="006B48CB"/>
    <w:rsid w:val="006B564D"/>
    <w:rsid w:val="006B5C3E"/>
    <w:rsid w:val="006C1445"/>
    <w:rsid w:val="006C3AB0"/>
    <w:rsid w:val="006C4BA8"/>
    <w:rsid w:val="006C4FC1"/>
    <w:rsid w:val="006C51A5"/>
    <w:rsid w:val="006C529D"/>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5F2F"/>
    <w:rsid w:val="006E63D2"/>
    <w:rsid w:val="006E699D"/>
    <w:rsid w:val="006E6B3A"/>
    <w:rsid w:val="006E6BA3"/>
    <w:rsid w:val="006F06C9"/>
    <w:rsid w:val="006F1116"/>
    <w:rsid w:val="006F2654"/>
    <w:rsid w:val="006F3196"/>
    <w:rsid w:val="006F32C4"/>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054D2"/>
    <w:rsid w:val="0071118B"/>
    <w:rsid w:val="00711C66"/>
    <w:rsid w:val="00711E13"/>
    <w:rsid w:val="00712EDA"/>
    <w:rsid w:val="007136D0"/>
    <w:rsid w:val="00713B71"/>
    <w:rsid w:val="007155A9"/>
    <w:rsid w:val="007158E1"/>
    <w:rsid w:val="00715ECD"/>
    <w:rsid w:val="00716AA6"/>
    <w:rsid w:val="0071705B"/>
    <w:rsid w:val="00720505"/>
    <w:rsid w:val="007236A3"/>
    <w:rsid w:val="007239B6"/>
    <w:rsid w:val="0072490A"/>
    <w:rsid w:val="00724B64"/>
    <w:rsid w:val="0072517D"/>
    <w:rsid w:val="00726878"/>
    <w:rsid w:val="0073084B"/>
    <w:rsid w:val="0073124A"/>
    <w:rsid w:val="00731B79"/>
    <w:rsid w:val="007320A2"/>
    <w:rsid w:val="00733893"/>
    <w:rsid w:val="00734A05"/>
    <w:rsid w:val="00735C6F"/>
    <w:rsid w:val="00741EBF"/>
    <w:rsid w:val="00742A6A"/>
    <w:rsid w:val="00742B44"/>
    <w:rsid w:val="007472D5"/>
    <w:rsid w:val="00753BB5"/>
    <w:rsid w:val="00755E4A"/>
    <w:rsid w:val="00756832"/>
    <w:rsid w:val="007626D0"/>
    <w:rsid w:val="00763A29"/>
    <w:rsid w:val="007651CA"/>
    <w:rsid w:val="00767519"/>
    <w:rsid w:val="007704E1"/>
    <w:rsid w:val="00770E5C"/>
    <w:rsid w:val="00772569"/>
    <w:rsid w:val="0077283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87909"/>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1593"/>
    <w:rsid w:val="007B26EE"/>
    <w:rsid w:val="007B2EF7"/>
    <w:rsid w:val="007B3502"/>
    <w:rsid w:val="007B3E6D"/>
    <w:rsid w:val="007B44ED"/>
    <w:rsid w:val="007B491A"/>
    <w:rsid w:val="007B5370"/>
    <w:rsid w:val="007B5B3F"/>
    <w:rsid w:val="007B61F5"/>
    <w:rsid w:val="007B63FA"/>
    <w:rsid w:val="007B7496"/>
    <w:rsid w:val="007C0385"/>
    <w:rsid w:val="007C0802"/>
    <w:rsid w:val="007C12BE"/>
    <w:rsid w:val="007C2739"/>
    <w:rsid w:val="007C453F"/>
    <w:rsid w:val="007C4B0F"/>
    <w:rsid w:val="007C4DAD"/>
    <w:rsid w:val="007C5830"/>
    <w:rsid w:val="007C5DB8"/>
    <w:rsid w:val="007C5DCE"/>
    <w:rsid w:val="007C6CA2"/>
    <w:rsid w:val="007D05B2"/>
    <w:rsid w:val="007D0C44"/>
    <w:rsid w:val="007D1972"/>
    <w:rsid w:val="007D1CA6"/>
    <w:rsid w:val="007D1F33"/>
    <w:rsid w:val="007D23D2"/>
    <w:rsid w:val="007D3307"/>
    <w:rsid w:val="007D5E27"/>
    <w:rsid w:val="007D6F64"/>
    <w:rsid w:val="007E1782"/>
    <w:rsid w:val="007E25AB"/>
    <w:rsid w:val="007E2F41"/>
    <w:rsid w:val="007E44FC"/>
    <w:rsid w:val="007E5AC2"/>
    <w:rsid w:val="007E79C5"/>
    <w:rsid w:val="007F15F6"/>
    <w:rsid w:val="007F2845"/>
    <w:rsid w:val="007F38A2"/>
    <w:rsid w:val="007F3F07"/>
    <w:rsid w:val="007F43BC"/>
    <w:rsid w:val="007F4740"/>
    <w:rsid w:val="008006C6"/>
    <w:rsid w:val="00800C52"/>
    <w:rsid w:val="0080153E"/>
    <w:rsid w:val="008018C8"/>
    <w:rsid w:val="0080263A"/>
    <w:rsid w:val="0080329D"/>
    <w:rsid w:val="00803A03"/>
    <w:rsid w:val="008055A9"/>
    <w:rsid w:val="00806905"/>
    <w:rsid w:val="0080742D"/>
    <w:rsid w:val="0080780F"/>
    <w:rsid w:val="008100AC"/>
    <w:rsid w:val="00810C05"/>
    <w:rsid w:val="0081151E"/>
    <w:rsid w:val="00812498"/>
    <w:rsid w:val="008127E6"/>
    <w:rsid w:val="00812D1B"/>
    <w:rsid w:val="0081336E"/>
    <w:rsid w:val="00813928"/>
    <w:rsid w:val="00814275"/>
    <w:rsid w:val="008154EC"/>
    <w:rsid w:val="00820DC7"/>
    <w:rsid w:val="00820FFB"/>
    <w:rsid w:val="00821698"/>
    <w:rsid w:val="008221FE"/>
    <w:rsid w:val="0082293B"/>
    <w:rsid w:val="00822BF5"/>
    <w:rsid w:val="00824634"/>
    <w:rsid w:val="00824894"/>
    <w:rsid w:val="00825366"/>
    <w:rsid w:val="00825E84"/>
    <w:rsid w:val="00826C7B"/>
    <w:rsid w:val="00826DD9"/>
    <w:rsid w:val="00826E01"/>
    <w:rsid w:val="008277A8"/>
    <w:rsid w:val="008278B6"/>
    <w:rsid w:val="008307ED"/>
    <w:rsid w:val="00830B3B"/>
    <w:rsid w:val="008327A9"/>
    <w:rsid w:val="0083350F"/>
    <w:rsid w:val="00834052"/>
    <w:rsid w:val="00834358"/>
    <w:rsid w:val="008346BD"/>
    <w:rsid w:val="00834923"/>
    <w:rsid w:val="008359EB"/>
    <w:rsid w:val="00836B7A"/>
    <w:rsid w:val="00837B90"/>
    <w:rsid w:val="008401C8"/>
    <w:rsid w:val="008409AA"/>
    <w:rsid w:val="00840FB8"/>
    <w:rsid w:val="00843A7A"/>
    <w:rsid w:val="008447F5"/>
    <w:rsid w:val="00846292"/>
    <w:rsid w:val="008506E1"/>
    <w:rsid w:val="008515EE"/>
    <w:rsid w:val="00851A8E"/>
    <w:rsid w:val="008525C2"/>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58BD"/>
    <w:rsid w:val="00886185"/>
    <w:rsid w:val="008861D9"/>
    <w:rsid w:val="0088638C"/>
    <w:rsid w:val="00886EDF"/>
    <w:rsid w:val="00887278"/>
    <w:rsid w:val="0089036C"/>
    <w:rsid w:val="008908E5"/>
    <w:rsid w:val="00891216"/>
    <w:rsid w:val="00892F02"/>
    <w:rsid w:val="00893D22"/>
    <w:rsid w:val="00894B58"/>
    <w:rsid w:val="00894FDC"/>
    <w:rsid w:val="008957D3"/>
    <w:rsid w:val="00896414"/>
    <w:rsid w:val="008967AB"/>
    <w:rsid w:val="0089716F"/>
    <w:rsid w:val="00897C71"/>
    <w:rsid w:val="008A0F54"/>
    <w:rsid w:val="008A16F9"/>
    <w:rsid w:val="008A1D3E"/>
    <w:rsid w:val="008A2C70"/>
    <w:rsid w:val="008A2FDE"/>
    <w:rsid w:val="008A4B16"/>
    <w:rsid w:val="008A4D63"/>
    <w:rsid w:val="008A4E11"/>
    <w:rsid w:val="008A6D62"/>
    <w:rsid w:val="008B13E9"/>
    <w:rsid w:val="008B2257"/>
    <w:rsid w:val="008B2436"/>
    <w:rsid w:val="008B2B4D"/>
    <w:rsid w:val="008B3B51"/>
    <w:rsid w:val="008B4057"/>
    <w:rsid w:val="008B4145"/>
    <w:rsid w:val="008B5071"/>
    <w:rsid w:val="008B5290"/>
    <w:rsid w:val="008B6A40"/>
    <w:rsid w:val="008B6C8E"/>
    <w:rsid w:val="008B704D"/>
    <w:rsid w:val="008B72EC"/>
    <w:rsid w:val="008B74DB"/>
    <w:rsid w:val="008C072F"/>
    <w:rsid w:val="008C2CFD"/>
    <w:rsid w:val="008C3FDC"/>
    <w:rsid w:val="008C47AD"/>
    <w:rsid w:val="008C603A"/>
    <w:rsid w:val="008C71C8"/>
    <w:rsid w:val="008D167D"/>
    <w:rsid w:val="008D32F6"/>
    <w:rsid w:val="008D3A8C"/>
    <w:rsid w:val="008D492A"/>
    <w:rsid w:val="008D4B58"/>
    <w:rsid w:val="008D4B7F"/>
    <w:rsid w:val="008D4B8A"/>
    <w:rsid w:val="008D4D68"/>
    <w:rsid w:val="008D6541"/>
    <w:rsid w:val="008D7D7B"/>
    <w:rsid w:val="008E0F52"/>
    <w:rsid w:val="008E2316"/>
    <w:rsid w:val="008E3063"/>
    <w:rsid w:val="008E34BE"/>
    <w:rsid w:val="008E3AA8"/>
    <w:rsid w:val="008E42CE"/>
    <w:rsid w:val="008E42F4"/>
    <w:rsid w:val="008E4333"/>
    <w:rsid w:val="008E4A31"/>
    <w:rsid w:val="008E5657"/>
    <w:rsid w:val="008E5E51"/>
    <w:rsid w:val="008E7EEA"/>
    <w:rsid w:val="008F00DB"/>
    <w:rsid w:val="008F1264"/>
    <w:rsid w:val="008F2908"/>
    <w:rsid w:val="008F47C6"/>
    <w:rsid w:val="008F6355"/>
    <w:rsid w:val="008F6647"/>
    <w:rsid w:val="008F700E"/>
    <w:rsid w:val="008F7D89"/>
    <w:rsid w:val="009006A2"/>
    <w:rsid w:val="0090102B"/>
    <w:rsid w:val="00901448"/>
    <w:rsid w:val="009036BC"/>
    <w:rsid w:val="00903D30"/>
    <w:rsid w:val="00904414"/>
    <w:rsid w:val="00904595"/>
    <w:rsid w:val="00905197"/>
    <w:rsid w:val="00905C47"/>
    <w:rsid w:val="00906379"/>
    <w:rsid w:val="00906A8C"/>
    <w:rsid w:val="009101EA"/>
    <w:rsid w:val="009106FC"/>
    <w:rsid w:val="009118BB"/>
    <w:rsid w:val="0091191F"/>
    <w:rsid w:val="00911E7D"/>
    <w:rsid w:val="009120A9"/>
    <w:rsid w:val="0091286A"/>
    <w:rsid w:val="009134C3"/>
    <w:rsid w:val="00915B81"/>
    <w:rsid w:val="00915D6B"/>
    <w:rsid w:val="009160DF"/>
    <w:rsid w:val="009162C7"/>
    <w:rsid w:val="00916B0B"/>
    <w:rsid w:val="00916EC2"/>
    <w:rsid w:val="009213BD"/>
    <w:rsid w:val="00921A6D"/>
    <w:rsid w:val="00921E69"/>
    <w:rsid w:val="009230A6"/>
    <w:rsid w:val="00924627"/>
    <w:rsid w:val="009250A8"/>
    <w:rsid w:val="00925BE6"/>
    <w:rsid w:val="00926697"/>
    <w:rsid w:val="00926F61"/>
    <w:rsid w:val="00926FA9"/>
    <w:rsid w:val="0093123D"/>
    <w:rsid w:val="00933040"/>
    <w:rsid w:val="009330E9"/>
    <w:rsid w:val="00934D97"/>
    <w:rsid w:val="00935D15"/>
    <w:rsid w:val="00940832"/>
    <w:rsid w:val="009411FB"/>
    <w:rsid w:val="009414A9"/>
    <w:rsid w:val="00941B71"/>
    <w:rsid w:val="00941DF9"/>
    <w:rsid w:val="009421AD"/>
    <w:rsid w:val="0094221C"/>
    <w:rsid w:val="00942280"/>
    <w:rsid w:val="0094409C"/>
    <w:rsid w:val="00944159"/>
    <w:rsid w:val="009444FE"/>
    <w:rsid w:val="009449B2"/>
    <w:rsid w:val="00944A82"/>
    <w:rsid w:val="00944BA5"/>
    <w:rsid w:val="00946C4D"/>
    <w:rsid w:val="0095019A"/>
    <w:rsid w:val="0095285B"/>
    <w:rsid w:val="00953FE9"/>
    <w:rsid w:val="00954417"/>
    <w:rsid w:val="0095481C"/>
    <w:rsid w:val="0095526F"/>
    <w:rsid w:val="009565BE"/>
    <w:rsid w:val="009567E6"/>
    <w:rsid w:val="00957076"/>
    <w:rsid w:val="00957132"/>
    <w:rsid w:val="009576FD"/>
    <w:rsid w:val="009578EB"/>
    <w:rsid w:val="009578FF"/>
    <w:rsid w:val="0096011C"/>
    <w:rsid w:val="00960446"/>
    <w:rsid w:val="009610ED"/>
    <w:rsid w:val="00961A02"/>
    <w:rsid w:val="00962D27"/>
    <w:rsid w:val="009633BB"/>
    <w:rsid w:val="00963A36"/>
    <w:rsid w:val="009643DA"/>
    <w:rsid w:val="0096485F"/>
    <w:rsid w:val="00967354"/>
    <w:rsid w:val="00971592"/>
    <w:rsid w:val="00971DDF"/>
    <w:rsid w:val="0097225C"/>
    <w:rsid w:val="009731D6"/>
    <w:rsid w:val="00974746"/>
    <w:rsid w:val="00975119"/>
    <w:rsid w:val="00975DDA"/>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262C"/>
    <w:rsid w:val="009938B1"/>
    <w:rsid w:val="00996258"/>
    <w:rsid w:val="00996306"/>
    <w:rsid w:val="00996744"/>
    <w:rsid w:val="00997CF4"/>
    <w:rsid w:val="00997DA5"/>
    <w:rsid w:val="009A1169"/>
    <w:rsid w:val="009A164C"/>
    <w:rsid w:val="009A1AAC"/>
    <w:rsid w:val="009A2CB8"/>
    <w:rsid w:val="009A3789"/>
    <w:rsid w:val="009A40D9"/>
    <w:rsid w:val="009A45A2"/>
    <w:rsid w:val="009A6919"/>
    <w:rsid w:val="009A6AC7"/>
    <w:rsid w:val="009B0408"/>
    <w:rsid w:val="009B0843"/>
    <w:rsid w:val="009B0DEE"/>
    <w:rsid w:val="009B0EF4"/>
    <w:rsid w:val="009B1335"/>
    <w:rsid w:val="009B1743"/>
    <w:rsid w:val="009B176D"/>
    <w:rsid w:val="009B1E47"/>
    <w:rsid w:val="009B2CED"/>
    <w:rsid w:val="009B3054"/>
    <w:rsid w:val="009B335D"/>
    <w:rsid w:val="009B3C90"/>
    <w:rsid w:val="009B4974"/>
    <w:rsid w:val="009B4D2A"/>
    <w:rsid w:val="009B7A72"/>
    <w:rsid w:val="009B7BB8"/>
    <w:rsid w:val="009B7BF9"/>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03A5"/>
    <w:rsid w:val="009D19BC"/>
    <w:rsid w:val="009D2348"/>
    <w:rsid w:val="009D2EA8"/>
    <w:rsid w:val="009D2F0C"/>
    <w:rsid w:val="009D3578"/>
    <w:rsid w:val="009D3A5F"/>
    <w:rsid w:val="009D48AC"/>
    <w:rsid w:val="009D5193"/>
    <w:rsid w:val="009D5C32"/>
    <w:rsid w:val="009D5C56"/>
    <w:rsid w:val="009D6472"/>
    <w:rsid w:val="009D6A89"/>
    <w:rsid w:val="009D79F4"/>
    <w:rsid w:val="009E126D"/>
    <w:rsid w:val="009E21B6"/>
    <w:rsid w:val="009E33D7"/>
    <w:rsid w:val="009E3CD1"/>
    <w:rsid w:val="009E469E"/>
    <w:rsid w:val="009E47BD"/>
    <w:rsid w:val="009E5AF5"/>
    <w:rsid w:val="009E5EB5"/>
    <w:rsid w:val="009E74F0"/>
    <w:rsid w:val="009F0768"/>
    <w:rsid w:val="009F102A"/>
    <w:rsid w:val="009F151C"/>
    <w:rsid w:val="009F2A19"/>
    <w:rsid w:val="009F514E"/>
    <w:rsid w:val="009F7867"/>
    <w:rsid w:val="009F7D66"/>
    <w:rsid w:val="00A00BD2"/>
    <w:rsid w:val="00A00E56"/>
    <w:rsid w:val="00A027F3"/>
    <w:rsid w:val="00A03778"/>
    <w:rsid w:val="00A03978"/>
    <w:rsid w:val="00A03AB1"/>
    <w:rsid w:val="00A04D7E"/>
    <w:rsid w:val="00A051D9"/>
    <w:rsid w:val="00A05DF3"/>
    <w:rsid w:val="00A06B1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EF"/>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1B2"/>
    <w:rsid w:val="00A42A85"/>
    <w:rsid w:val="00A42D07"/>
    <w:rsid w:val="00A44B43"/>
    <w:rsid w:val="00A4503E"/>
    <w:rsid w:val="00A450C0"/>
    <w:rsid w:val="00A45468"/>
    <w:rsid w:val="00A45654"/>
    <w:rsid w:val="00A46C9C"/>
    <w:rsid w:val="00A4791B"/>
    <w:rsid w:val="00A50A48"/>
    <w:rsid w:val="00A51180"/>
    <w:rsid w:val="00A51242"/>
    <w:rsid w:val="00A51522"/>
    <w:rsid w:val="00A51573"/>
    <w:rsid w:val="00A51A5E"/>
    <w:rsid w:val="00A52895"/>
    <w:rsid w:val="00A53507"/>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13A"/>
    <w:rsid w:val="00A85798"/>
    <w:rsid w:val="00A8609D"/>
    <w:rsid w:val="00A86EA7"/>
    <w:rsid w:val="00A87765"/>
    <w:rsid w:val="00A91244"/>
    <w:rsid w:val="00A91C7F"/>
    <w:rsid w:val="00A92066"/>
    <w:rsid w:val="00A92776"/>
    <w:rsid w:val="00A93181"/>
    <w:rsid w:val="00A938E6"/>
    <w:rsid w:val="00A93CCF"/>
    <w:rsid w:val="00A94E4E"/>
    <w:rsid w:val="00A95514"/>
    <w:rsid w:val="00A95BD5"/>
    <w:rsid w:val="00A95C53"/>
    <w:rsid w:val="00A962C1"/>
    <w:rsid w:val="00A963A1"/>
    <w:rsid w:val="00A96F78"/>
    <w:rsid w:val="00A979E1"/>
    <w:rsid w:val="00AA0B9E"/>
    <w:rsid w:val="00AA1087"/>
    <w:rsid w:val="00AA12D0"/>
    <w:rsid w:val="00AA138C"/>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4F3"/>
    <w:rsid w:val="00AB60E2"/>
    <w:rsid w:val="00AB6601"/>
    <w:rsid w:val="00AB674E"/>
    <w:rsid w:val="00AB6D79"/>
    <w:rsid w:val="00AB7806"/>
    <w:rsid w:val="00AC02C1"/>
    <w:rsid w:val="00AC0AB6"/>
    <w:rsid w:val="00AC10AD"/>
    <w:rsid w:val="00AC1E55"/>
    <w:rsid w:val="00AC3D06"/>
    <w:rsid w:val="00AC429F"/>
    <w:rsid w:val="00AC6006"/>
    <w:rsid w:val="00AC60B4"/>
    <w:rsid w:val="00AC6C48"/>
    <w:rsid w:val="00AC7D98"/>
    <w:rsid w:val="00AD00C5"/>
    <w:rsid w:val="00AD165F"/>
    <w:rsid w:val="00AD2794"/>
    <w:rsid w:val="00AD2BC4"/>
    <w:rsid w:val="00AD2D8A"/>
    <w:rsid w:val="00AD2DC5"/>
    <w:rsid w:val="00AD3455"/>
    <w:rsid w:val="00AD3CAD"/>
    <w:rsid w:val="00AD5A99"/>
    <w:rsid w:val="00AD69FF"/>
    <w:rsid w:val="00AD702B"/>
    <w:rsid w:val="00AD72E6"/>
    <w:rsid w:val="00AD7C95"/>
    <w:rsid w:val="00AD7FCD"/>
    <w:rsid w:val="00AE15CC"/>
    <w:rsid w:val="00AE2BED"/>
    <w:rsid w:val="00AE2D9F"/>
    <w:rsid w:val="00AE3DE1"/>
    <w:rsid w:val="00AE5183"/>
    <w:rsid w:val="00AE5439"/>
    <w:rsid w:val="00AE61B2"/>
    <w:rsid w:val="00AE78D1"/>
    <w:rsid w:val="00AE7F89"/>
    <w:rsid w:val="00AF2770"/>
    <w:rsid w:val="00AF2D54"/>
    <w:rsid w:val="00AF315C"/>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0D5"/>
    <w:rsid w:val="00B1513F"/>
    <w:rsid w:val="00B15B89"/>
    <w:rsid w:val="00B15E90"/>
    <w:rsid w:val="00B1746F"/>
    <w:rsid w:val="00B20725"/>
    <w:rsid w:val="00B2087E"/>
    <w:rsid w:val="00B20B94"/>
    <w:rsid w:val="00B248D0"/>
    <w:rsid w:val="00B252E8"/>
    <w:rsid w:val="00B2628E"/>
    <w:rsid w:val="00B266B0"/>
    <w:rsid w:val="00B27921"/>
    <w:rsid w:val="00B3000E"/>
    <w:rsid w:val="00B31667"/>
    <w:rsid w:val="00B326A8"/>
    <w:rsid w:val="00B329EB"/>
    <w:rsid w:val="00B32FCD"/>
    <w:rsid w:val="00B33508"/>
    <w:rsid w:val="00B3377E"/>
    <w:rsid w:val="00B35DA4"/>
    <w:rsid w:val="00B40A96"/>
    <w:rsid w:val="00B4184B"/>
    <w:rsid w:val="00B41A5F"/>
    <w:rsid w:val="00B422A7"/>
    <w:rsid w:val="00B42A32"/>
    <w:rsid w:val="00B42FA6"/>
    <w:rsid w:val="00B4399E"/>
    <w:rsid w:val="00B43A16"/>
    <w:rsid w:val="00B45CE1"/>
    <w:rsid w:val="00B46A75"/>
    <w:rsid w:val="00B470A7"/>
    <w:rsid w:val="00B500CD"/>
    <w:rsid w:val="00B5062B"/>
    <w:rsid w:val="00B5109D"/>
    <w:rsid w:val="00B5239C"/>
    <w:rsid w:val="00B53259"/>
    <w:rsid w:val="00B53893"/>
    <w:rsid w:val="00B53895"/>
    <w:rsid w:val="00B548C2"/>
    <w:rsid w:val="00B54B6A"/>
    <w:rsid w:val="00B55428"/>
    <w:rsid w:val="00B56340"/>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1D9C"/>
    <w:rsid w:val="00B82613"/>
    <w:rsid w:val="00B828B5"/>
    <w:rsid w:val="00B82ED8"/>
    <w:rsid w:val="00B83B93"/>
    <w:rsid w:val="00B83E1B"/>
    <w:rsid w:val="00B8404A"/>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4AFC"/>
    <w:rsid w:val="00BA76A9"/>
    <w:rsid w:val="00BB3E2B"/>
    <w:rsid w:val="00BB5D1C"/>
    <w:rsid w:val="00BB6552"/>
    <w:rsid w:val="00BB6B9B"/>
    <w:rsid w:val="00BB754F"/>
    <w:rsid w:val="00BC0058"/>
    <w:rsid w:val="00BC0740"/>
    <w:rsid w:val="00BC07D4"/>
    <w:rsid w:val="00BC0A5D"/>
    <w:rsid w:val="00BC0BE3"/>
    <w:rsid w:val="00BC1AD9"/>
    <w:rsid w:val="00BC3257"/>
    <w:rsid w:val="00BC32E7"/>
    <w:rsid w:val="00BC4F81"/>
    <w:rsid w:val="00BC5670"/>
    <w:rsid w:val="00BC58B9"/>
    <w:rsid w:val="00BD280E"/>
    <w:rsid w:val="00BD3056"/>
    <w:rsid w:val="00BD3846"/>
    <w:rsid w:val="00BD3E68"/>
    <w:rsid w:val="00BD4E05"/>
    <w:rsid w:val="00BD598A"/>
    <w:rsid w:val="00BD5C7A"/>
    <w:rsid w:val="00BD6513"/>
    <w:rsid w:val="00BD7013"/>
    <w:rsid w:val="00BD70EC"/>
    <w:rsid w:val="00BD75B4"/>
    <w:rsid w:val="00BD7BEB"/>
    <w:rsid w:val="00BD7D14"/>
    <w:rsid w:val="00BE02B4"/>
    <w:rsid w:val="00BE1CE5"/>
    <w:rsid w:val="00BE3492"/>
    <w:rsid w:val="00BE4C6E"/>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66D4"/>
    <w:rsid w:val="00C072FE"/>
    <w:rsid w:val="00C11ADE"/>
    <w:rsid w:val="00C12E39"/>
    <w:rsid w:val="00C13D47"/>
    <w:rsid w:val="00C14164"/>
    <w:rsid w:val="00C14C53"/>
    <w:rsid w:val="00C15D65"/>
    <w:rsid w:val="00C15D8E"/>
    <w:rsid w:val="00C17012"/>
    <w:rsid w:val="00C178FB"/>
    <w:rsid w:val="00C17DF9"/>
    <w:rsid w:val="00C2030B"/>
    <w:rsid w:val="00C20ACC"/>
    <w:rsid w:val="00C2139F"/>
    <w:rsid w:val="00C22B28"/>
    <w:rsid w:val="00C257B7"/>
    <w:rsid w:val="00C272E8"/>
    <w:rsid w:val="00C30B60"/>
    <w:rsid w:val="00C31FAA"/>
    <w:rsid w:val="00C32D0D"/>
    <w:rsid w:val="00C33359"/>
    <w:rsid w:val="00C348D6"/>
    <w:rsid w:val="00C365E7"/>
    <w:rsid w:val="00C36E34"/>
    <w:rsid w:val="00C404EE"/>
    <w:rsid w:val="00C4171B"/>
    <w:rsid w:val="00C42689"/>
    <w:rsid w:val="00C42988"/>
    <w:rsid w:val="00C42BD4"/>
    <w:rsid w:val="00C43FF0"/>
    <w:rsid w:val="00C44641"/>
    <w:rsid w:val="00C455D8"/>
    <w:rsid w:val="00C45EF5"/>
    <w:rsid w:val="00C46B7E"/>
    <w:rsid w:val="00C47290"/>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2A8"/>
    <w:rsid w:val="00C661E8"/>
    <w:rsid w:val="00C70084"/>
    <w:rsid w:val="00C711A5"/>
    <w:rsid w:val="00C7235B"/>
    <w:rsid w:val="00C72E18"/>
    <w:rsid w:val="00C731AD"/>
    <w:rsid w:val="00C7380B"/>
    <w:rsid w:val="00C74421"/>
    <w:rsid w:val="00C75F2F"/>
    <w:rsid w:val="00C75FEE"/>
    <w:rsid w:val="00C76F1D"/>
    <w:rsid w:val="00C77937"/>
    <w:rsid w:val="00C77CA4"/>
    <w:rsid w:val="00C77D26"/>
    <w:rsid w:val="00C80BDF"/>
    <w:rsid w:val="00C815DF"/>
    <w:rsid w:val="00C82454"/>
    <w:rsid w:val="00C82FEE"/>
    <w:rsid w:val="00C84D39"/>
    <w:rsid w:val="00C85277"/>
    <w:rsid w:val="00C85806"/>
    <w:rsid w:val="00C85D76"/>
    <w:rsid w:val="00C873AC"/>
    <w:rsid w:val="00C87DA6"/>
    <w:rsid w:val="00C9213B"/>
    <w:rsid w:val="00C93462"/>
    <w:rsid w:val="00C93852"/>
    <w:rsid w:val="00C94384"/>
    <w:rsid w:val="00C94938"/>
    <w:rsid w:val="00C94A34"/>
    <w:rsid w:val="00C94C2B"/>
    <w:rsid w:val="00C94F73"/>
    <w:rsid w:val="00C95609"/>
    <w:rsid w:val="00C96F79"/>
    <w:rsid w:val="00C97CF9"/>
    <w:rsid w:val="00CA17DD"/>
    <w:rsid w:val="00CA17DF"/>
    <w:rsid w:val="00CA1863"/>
    <w:rsid w:val="00CA1941"/>
    <w:rsid w:val="00CA26CE"/>
    <w:rsid w:val="00CA391D"/>
    <w:rsid w:val="00CA3A0A"/>
    <w:rsid w:val="00CA3ACD"/>
    <w:rsid w:val="00CA4DCC"/>
    <w:rsid w:val="00CA4F8B"/>
    <w:rsid w:val="00CA5445"/>
    <w:rsid w:val="00CA59CD"/>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68"/>
    <w:rsid w:val="00CC3DAA"/>
    <w:rsid w:val="00CC4C2C"/>
    <w:rsid w:val="00CC5057"/>
    <w:rsid w:val="00CD03A6"/>
    <w:rsid w:val="00CD078F"/>
    <w:rsid w:val="00CD121E"/>
    <w:rsid w:val="00CD14FE"/>
    <w:rsid w:val="00CD185D"/>
    <w:rsid w:val="00CD28F0"/>
    <w:rsid w:val="00CD3ED8"/>
    <w:rsid w:val="00CD4F56"/>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921"/>
    <w:rsid w:val="00D060FF"/>
    <w:rsid w:val="00D064E8"/>
    <w:rsid w:val="00D06546"/>
    <w:rsid w:val="00D06572"/>
    <w:rsid w:val="00D065CD"/>
    <w:rsid w:val="00D10B56"/>
    <w:rsid w:val="00D12325"/>
    <w:rsid w:val="00D12761"/>
    <w:rsid w:val="00D14487"/>
    <w:rsid w:val="00D15E7E"/>
    <w:rsid w:val="00D16058"/>
    <w:rsid w:val="00D16FDD"/>
    <w:rsid w:val="00D20016"/>
    <w:rsid w:val="00D207A7"/>
    <w:rsid w:val="00D20FD3"/>
    <w:rsid w:val="00D22029"/>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9E"/>
    <w:rsid w:val="00D328F6"/>
    <w:rsid w:val="00D345D4"/>
    <w:rsid w:val="00D3462C"/>
    <w:rsid w:val="00D34DEB"/>
    <w:rsid w:val="00D35198"/>
    <w:rsid w:val="00D353D9"/>
    <w:rsid w:val="00D3584B"/>
    <w:rsid w:val="00D35A85"/>
    <w:rsid w:val="00D361F0"/>
    <w:rsid w:val="00D36964"/>
    <w:rsid w:val="00D37E9A"/>
    <w:rsid w:val="00D4081B"/>
    <w:rsid w:val="00D413C3"/>
    <w:rsid w:val="00D42240"/>
    <w:rsid w:val="00D427C3"/>
    <w:rsid w:val="00D42EB8"/>
    <w:rsid w:val="00D43D3C"/>
    <w:rsid w:val="00D43E0B"/>
    <w:rsid w:val="00D44932"/>
    <w:rsid w:val="00D46111"/>
    <w:rsid w:val="00D4662F"/>
    <w:rsid w:val="00D47539"/>
    <w:rsid w:val="00D47C16"/>
    <w:rsid w:val="00D502AF"/>
    <w:rsid w:val="00D50764"/>
    <w:rsid w:val="00D50C12"/>
    <w:rsid w:val="00D514A9"/>
    <w:rsid w:val="00D51A77"/>
    <w:rsid w:val="00D5267B"/>
    <w:rsid w:val="00D53649"/>
    <w:rsid w:val="00D53830"/>
    <w:rsid w:val="00D5423E"/>
    <w:rsid w:val="00D54FB3"/>
    <w:rsid w:val="00D55889"/>
    <w:rsid w:val="00D56B5F"/>
    <w:rsid w:val="00D57A3F"/>
    <w:rsid w:val="00D57AF0"/>
    <w:rsid w:val="00D61815"/>
    <w:rsid w:val="00D627E3"/>
    <w:rsid w:val="00D62ECD"/>
    <w:rsid w:val="00D64426"/>
    <w:rsid w:val="00D64475"/>
    <w:rsid w:val="00D65D78"/>
    <w:rsid w:val="00D66B04"/>
    <w:rsid w:val="00D67BC5"/>
    <w:rsid w:val="00D67F8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789"/>
    <w:rsid w:val="00D90E1E"/>
    <w:rsid w:val="00D9248D"/>
    <w:rsid w:val="00D930E1"/>
    <w:rsid w:val="00D9354D"/>
    <w:rsid w:val="00D9415C"/>
    <w:rsid w:val="00D942CC"/>
    <w:rsid w:val="00D944E4"/>
    <w:rsid w:val="00D94D87"/>
    <w:rsid w:val="00D95B31"/>
    <w:rsid w:val="00D95DCC"/>
    <w:rsid w:val="00D95E7D"/>
    <w:rsid w:val="00D962DC"/>
    <w:rsid w:val="00DA08DE"/>
    <w:rsid w:val="00DA180C"/>
    <w:rsid w:val="00DA18A2"/>
    <w:rsid w:val="00DA3446"/>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3F22"/>
    <w:rsid w:val="00DB46D0"/>
    <w:rsid w:val="00DB4E06"/>
    <w:rsid w:val="00DB6A80"/>
    <w:rsid w:val="00DB6C06"/>
    <w:rsid w:val="00DB7B06"/>
    <w:rsid w:val="00DC318A"/>
    <w:rsid w:val="00DC3A9D"/>
    <w:rsid w:val="00DC4600"/>
    <w:rsid w:val="00DC5584"/>
    <w:rsid w:val="00DC6C1E"/>
    <w:rsid w:val="00DC7255"/>
    <w:rsid w:val="00DC7951"/>
    <w:rsid w:val="00DD1C4B"/>
    <w:rsid w:val="00DD1F7B"/>
    <w:rsid w:val="00DD229E"/>
    <w:rsid w:val="00DD3029"/>
    <w:rsid w:val="00DD317A"/>
    <w:rsid w:val="00DD55E0"/>
    <w:rsid w:val="00DE0E7E"/>
    <w:rsid w:val="00DE18A3"/>
    <w:rsid w:val="00DE1904"/>
    <w:rsid w:val="00DE1DAA"/>
    <w:rsid w:val="00DE3DBB"/>
    <w:rsid w:val="00DE43A2"/>
    <w:rsid w:val="00DE4A74"/>
    <w:rsid w:val="00DE4B05"/>
    <w:rsid w:val="00DE541C"/>
    <w:rsid w:val="00DE55DC"/>
    <w:rsid w:val="00DE5685"/>
    <w:rsid w:val="00DE737B"/>
    <w:rsid w:val="00DE775C"/>
    <w:rsid w:val="00DF100B"/>
    <w:rsid w:val="00DF11B7"/>
    <w:rsid w:val="00DF4359"/>
    <w:rsid w:val="00DF4CAB"/>
    <w:rsid w:val="00DF73C1"/>
    <w:rsid w:val="00DF7511"/>
    <w:rsid w:val="00DF7751"/>
    <w:rsid w:val="00E0062B"/>
    <w:rsid w:val="00E009B1"/>
    <w:rsid w:val="00E00BC3"/>
    <w:rsid w:val="00E011D7"/>
    <w:rsid w:val="00E031BB"/>
    <w:rsid w:val="00E0417B"/>
    <w:rsid w:val="00E0576C"/>
    <w:rsid w:val="00E068BC"/>
    <w:rsid w:val="00E073F0"/>
    <w:rsid w:val="00E10761"/>
    <w:rsid w:val="00E11D7A"/>
    <w:rsid w:val="00E11EEB"/>
    <w:rsid w:val="00E12062"/>
    <w:rsid w:val="00E128F2"/>
    <w:rsid w:val="00E13E5A"/>
    <w:rsid w:val="00E13EE4"/>
    <w:rsid w:val="00E16463"/>
    <w:rsid w:val="00E20B20"/>
    <w:rsid w:val="00E213A2"/>
    <w:rsid w:val="00E239D1"/>
    <w:rsid w:val="00E246B9"/>
    <w:rsid w:val="00E250C5"/>
    <w:rsid w:val="00E26727"/>
    <w:rsid w:val="00E26947"/>
    <w:rsid w:val="00E26970"/>
    <w:rsid w:val="00E2728F"/>
    <w:rsid w:val="00E27791"/>
    <w:rsid w:val="00E30F2D"/>
    <w:rsid w:val="00E319DB"/>
    <w:rsid w:val="00E31AFC"/>
    <w:rsid w:val="00E3250F"/>
    <w:rsid w:val="00E32677"/>
    <w:rsid w:val="00E3409E"/>
    <w:rsid w:val="00E34F76"/>
    <w:rsid w:val="00E37A0F"/>
    <w:rsid w:val="00E37BE5"/>
    <w:rsid w:val="00E40B7F"/>
    <w:rsid w:val="00E41A27"/>
    <w:rsid w:val="00E41AB4"/>
    <w:rsid w:val="00E42120"/>
    <w:rsid w:val="00E42737"/>
    <w:rsid w:val="00E44318"/>
    <w:rsid w:val="00E448D2"/>
    <w:rsid w:val="00E44906"/>
    <w:rsid w:val="00E45C77"/>
    <w:rsid w:val="00E4608B"/>
    <w:rsid w:val="00E46D7F"/>
    <w:rsid w:val="00E477BA"/>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0181"/>
    <w:rsid w:val="00E703D5"/>
    <w:rsid w:val="00E73AB7"/>
    <w:rsid w:val="00E74F5D"/>
    <w:rsid w:val="00E75BB2"/>
    <w:rsid w:val="00E76034"/>
    <w:rsid w:val="00E77774"/>
    <w:rsid w:val="00E80440"/>
    <w:rsid w:val="00E81592"/>
    <w:rsid w:val="00E817E0"/>
    <w:rsid w:val="00E82EE4"/>
    <w:rsid w:val="00E831E7"/>
    <w:rsid w:val="00E843B5"/>
    <w:rsid w:val="00E84A3B"/>
    <w:rsid w:val="00E851FF"/>
    <w:rsid w:val="00E85307"/>
    <w:rsid w:val="00E856DF"/>
    <w:rsid w:val="00E85B0A"/>
    <w:rsid w:val="00E87742"/>
    <w:rsid w:val="00E907E4"/>
    <w:rsid w:val="00E90A24"/>
    <w:rsid w:val="00E90C34"/>
    <w:rsid w:val="00E91503"/>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E96"/>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1D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7FB"/>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5EDD"/>
    <w:rsid w:val="00F15F6B"/>
    <w:rsid w:val="00F16739"/>
    <w:rsid w:val="00F16DE2"/>
    <w:rsid w:val="00F2052B"/>
    <w:rsid w:val="00F2260F"/>
    <w:rsid w:val="00F22CED"/>
    <w:rsid w:val="00F23606"/>
    <w:rsid w:val="00F242AD"/>
    <w:rsid w:val="00F247F2"/>
    <w:rsid w:val="00F2518F"/>
    <w:rsid w:val="00F252A8"/>
    <w:rsid w:val="00F25769"/>
    <w:rsid w:val="00F2617A"/>
    <w:rsid w:val="00F265F7"/>
    <w:rsid w:val="00F27FA6"/>
    <w:rsid w:val="00F33DC8"/>
    <w:rsid w:val="00F34444"/>
    <w:rsid w:val="00F378F1"/>
    <w:rsid w:val="00F403A1"/>
    <w:rsid w:val="00F403D5"/>
    <w:rsid w:val="00F403DB"/>
    <w:rsid w:val="00F4065A"/>
    <w:rsid w:val="00F4275C"/>
    <w:rsid w:val="00F4394D"/>
    <w:rsid w:val="00F45693"/>
    <w:rsid w:val="00F52339"/>
    <w:rsid w:val="00F5277A"/>
    <w:rsid w:val="00F532E8"/>
    <w:rsid w:val="00F537FF"/>
    <w:rsid w:val="00F5455C"/>
    <w:rsid w:val="00F54E36"/>
    <w:rsid w:val="00F560FE"/>
    <w:rsid w:val="00F60CD6"/>
    <w:rsid w:val="00F6111C"/>
    <w:rsid w:val="00F614C0"/>
    <w:rsid w:val="00F61647"/>
    <w:rsid w:val="00F6260C"/>
    <w:rsid w:val="00F657CF"/>
    <w:rsid w:val="00F65808"/>
    <w:rsid w:val="00F66A00"/>
    <w:rsid w:val="00F66CFB"/>
    <w:rsid w:val="00F6741E"/>
    <w:rsid w:val="00F713A3"/>
    <w:rsid w:val="00F71A8F"/>
    <w:rsid w:val="00F7415E"/>
    <w:rsid w:val="00F75330"/>
    <w:rsid w:val="00F75B66"/>
    <w:rsid w:val="00F76BD9"/>
    <w:rsid w:val="00F80318"/>
    <w:rsid w:val="00F80703"/>
    <w:rsid w:val="00F80948"/>
    <w:rsid w:val="00F81387"/>
    <w:rsid w:val="00F822E3"/>
    <w:rsid w:val="00F82866"/>
    <w:rsid w:val="00F82E00"/>
    <w:rsid w:val="00F841FB"/>
    <w:rsid w:val="00F84421"/>
    <w:rsid w:val="00F8449B"/>
    <w:rsid w:val="00F85159"/>
    <w:rsid w:val="00F85691"/>
    <w:rsid w:val="00F87032"/>
    <w:rsid w:val="00F87094"/>
    <w:rsid w:val="00F87AB3"/>
    <w:rsid w:val="00F913DC"/>
    <w:rsid w:val="00F91DDA"/>
    <w:rsid w:val="00F9397A"/>
    <w:rsid w:val="00F93A37"/>
    <w:rsid w:val="00F93E77"/>
    <w:rsid w:val="00F94182"/>
    <w:rsid w:val="00F9431F"/>
    <w:rsid w:val="00F944D9"/>
    <w:rsid w:val="00F94DB3"/>
    <w:rsid w:val="00F96500"/>
    <w:rsid w:val="00FA1176"/>
    <w:rsid w:val="00FA3071"/>
    <w:rsid w:val="00FA31E7"/>
    <w:rsid w:val="00FA37EE"/>
    <w:rsid w:val="00FA413A"/>
    <w:rsid w:val="00FA4144"/>
    <w:rsid w:val="00FA4DDF"/>
    <w:rsid w:val="00FA5756"/>
    <w:rsid w:val="00FA645E"/>
    <w:rsid w:val="00FA6E7F"/>
    <w:rsid w:val="00FA7114"/>
    <w:rsid w:val="00FB17DA"/>
    <w:rsid w:val="00FB22D7"/>
    <w:rsid w:val="00FB2379"/>
    <w:rsid w:val="00FB3CB7"/>
    <w:rsid w:val="00FB3ECF"/>
    <w:rsid w:val="00FB4B8A"/>
    <w:rsid w:val="00FB5152"/>
    <w:rsid w:val="00FB5F8F"/>
    <w:rsid w:val="00FB6739"/>
    <w:rsid w:val="00FB680E"/>
    <w:rsid w:val="00FB7A0B"/>
    <w:rsid w:val="00FC0065"/>
    <w:rsid w:val="00FC0147"/>
    <w:rsid w:val="00FC0285"/>
    <w:rsid w:val="00FC062F"/>
    <w:rsid w:val="00FC3AEE"/>
    <w:rsid w:val="00FC4542"/>
    <w:rsid w:val="00FC5E90"/>
    <w:rsid w:val="00FC6238"/>
    <w:rsid w:val="00FC6615"/>
    <w:rsid w:val="00FC7951"/>
    <w:rsid w:val="00FC7EAE"/>
    <w:rsid w:val="00FD236B"/>
    <w:rsid w:val="00FD2785"/>
    <w:rsid w:val="00FD33FC"/>
    <w:rsid w:val="00FD3730"/>
    <w:rsid w:val="00FD3ADE"/>
    <w:rsid w:val="00FD3B08"/>
    <w:rsid w:val="00FD442C"/>
    <w:rsid w:val="00FD4806"/>
    <w:rsid w:val="00FD4BA4"/>
    <w:rsid w:val="00FD534E"/>
    <w:rsid w:val="00FD56C7"/>
    <w:rsid w:val="00FD5CBB"/>
    <w:rsid w:val="00FD6564"/>
    <w:rsid w:val="00FD6B74"/>
    <w:rsid w:val="00FD70AE"/>
    <w:rsid w:val="00FD7F71"/>
    <w:rsid w:val="00FE002E"/>
    <w:rsid w:val="00FE2371"/>
    <w:rsid w:val="00FE2398"/>
    <w:rsid w:val="00FE486E"/>
    <w:rsid w:val="00FE515A"/>
    <w:rsid w:val="00FE5421"/>
    <w:rsid w:val="00FE5624"/>
    <w:rsid w:val="00FE5D2C"/>
    <w:rsid w:val="00FE5FBF"/>
    <w:rsid w:val="00FE6C25"/>
    <w:rsid w:val="00FE6C7A"/>
    <w:rsid w:val="00FE7619"/>
    <w:rsid w:val="00FE7AD9"/>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uiPriority w:val="99"/>
    <w:qFormat/>
    <w:rsid w:val="003578D2"/>
    <w:pPr>
      <w:numPr>
        <w:numId w:val="1"/>
      </w:numPr>
      <w:tabs>
        <w:tab w:val="num" w:pos="360"/>
      </w:tabs>
      <w:ind w:left="840" w:hanging="720"/>
    </w:pPr>
    <w:rPr>
      <w:rFonts w:ascii="Arial" w:eastAsiaTheme="minorEastAsia"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403499">
      <w:bodyDiv w:val="1"/>
      <w:marLeft w:val="0"/>
      <w:marRight w:val="0"/>
      <w:marTop w:val="0"/>
      <w:marBottom w:val="0"/>
      <w:divBdr>
        <w:top w:val="none" w:sz="0" w:space="0" w:color="auto"/>
        <w:left w:val="none" w:sz="0" w:space="0" w:color="auto"/>
        <w:bottom w:val="none" w:sz="0" w:space="0" w:color="auto"/>
        <w:right w:val="none" w:sz="0" w:space="0" w:color="auto"/>
      </w:divBdr>
      <w:divsChild>
        <w:div w:id="779034693">
          <w:marLeft w:val="720"/>
          <w:marRight w:val="0"/>
          <w:marTop w:val="0"/>
          <w:marBottom w:val="60"/>
          <w:divBdr>
            <w:top w:val="none" w:sz="0" w:space="0" w:color="auto"/>
            <w:left w:val="none" w:sz="0" w:space="0" w:color="auto"/>
            <w:bottom w:val="none" w:sz="0" w:space="0" w:color="auto"/>
            <w:right w:val="none" w:sz="0" w:space="0" w:color="auto"/>
          </w:divBdr>
        </w:div>
        <w:div w:id="62875938">
          <w:marLeft w:val="720"/>
          <w:marRight w:val="0"/>
          <w:marTop w:val="0"/>
          <w:marBottom w:val="60"/>
          <w:divBdr>
            <w:top w:val="none" w:sz="0" w:space="0" w:color="auto"/>
            <w:left w:val="none" w:sz="0" w:space="0" w:color="auto"/>
            <w:bottom w:val="none" w:sz="0" w:space="0" w:color="auto"/>
            <w:right w:val="none" w:sz="0" w:space="0" w:color="auto"/>
          </w:divBdr>
        </w:div>
        <w:div w:id="583496136">
          <w:marLeft w:val="1080"/>
          <w:marRight w:val="0"/>
          <w:marTop w:val="0"/>
          <w:marBottom w:val="60"/>
          <w:divBdr>
            <w:top w:val="none" w:sz="0" w:space="0" w:color="auto"/>
            <w:left w:val="none" w:sz="0" w:space="0" w:color="auto"/>
            <w:bottom w:val="none" w:sz="0" w:space="0" w:color="auto"/>
            <w:right w:val="none" w:sz="0" w:space="0" w:color="auto"/>
          </w:divBdr>
        </w:div>
        <w:div w:id="186142696">
          <w:marLeft w:val="1080"/>
          <w:marRight w:val="0"/>
          <w:marTop w:val="0"/>
          <w:marBottom w:val="60"/>
          <w:divBdr>
            <w:top w:val="none" w:sz="0" w:space="0" w:color="auto"/>
            <w:left w:val="none" w:sz="0" w:space="0" w:color="auto"/>
            <w:bottom w:val="none" w:sz="0" w:space="0" w:color="auto"/>
            <w:right w:val="none" w:sz="0" w:space="0" w:color="auto"/>
          </w:divBdr>
        </w:div>
        <w:div w:id="427698538">
          <w:marLeft w:val="1440"/>
          <w:marRight w:val="0"/>
          <w:marTop w:val="0"/>
          <w:marBottom w:val="60"/>
          <w:divBdr>
            <w:top w:val="none" w:sz="0" w:space="0" w:color="auto"/>
            <w:left w:val="none" w:sz="0" w:space="0" w:color="auto"/>
            <w:bottom w:val="none" w:sz="0" w:space="0" w:color="auto"/>
            <w:right w:val="none" w:sz="0" w:space="0" w:color="auto"/>
          </w:divBdr>
        </w:div>
        <w:div w:id="1851292308">
          <w:marLeft w:val="1440"/>
          <w:marRight w:val="0"/>
          <w:marTop w:val="0"/>
          <w:marBottom w:val="60"/>
          <w:divBdr>
            <w:top w:val="none" w:sz="0" w:space="0" w:color="auto"/>
            <w:left w:val="none" w:sz="0" w:space="0" w:color="auto"/>
            <w:bottom w:val="none" w:sz="0" w:space="0" w:color="auto"/>
            <w:right w:val="none" w:sz="0" w:space="0" w:color="auto"/>
          </w:divBdr>
        </w:div>
        <w:div w:id="1669677381">
          <w:marLeft w:val="1440"/>
          <w:marRight w:val="0"/>
          <w:marTop w:val="0"/>
          <w:marBottom w:val="60"/>
          <w:divBdr>
            <w:top w:val="none" w:sz="0" w:space="0" w:color="auto"/>
            <w:left w:val="none" w:sz="0" w:space="0" w:color="auto"/>
            <w:bottom w:val="none" w:sz="0" w:space="0" w:color="auto"/>
            <w:right w:val="none" w:sz="0" w:space="0" w:color="auto"/>
          </w:divBdr>
        </w:div>
        <w:div w:id="65809986">
          <w:marLeft w:val="1080"/>
          <w:marRight w:val="0"/>
          <w:marTop w:val="0"/>
          <w:marBottom w:val="60"/>
          <w:divBdr>
            <w:top w:val="none" w:sz="0" w:space="0" w:color="auto"/>
            <w:left w:val="none" w:sz="0" w:space="0" w:color="auto"/>
            <w:bottom w:val="none" w:sz="0" w:space="0" w:color="auto"/>
            <w:right w:val="none" w:sz="0" w:space="0" w:color="auto"/>
          </w:divBdr>
        </w:div>
        <w:div w:id="653727343">
          <w:marLeft w:val="1440"/>
          <w:marRight w:val="0"/>
          <w:marTop w:val="0"/>
          <w:marBottom w:val="60"/>
          <w:divBdr>
            <w:top w:val="none" w:sz="0" w:space="0" w:color="auto"/>
            <w:left w:val="none" w:sz="0" w:space="0" w:color="auto"/>
            <w:bottom w:val="none" w:sz="0" w:space="0" w:color="auto"/>
            <w:right w:val="none" w:sz="0" w:space="0" w:color="auto"/>
          </w:divBdr>
        </w:div>
        <w:div w:id="41254039">
          <w:marLeft w:val="1440"/>
          <w:marRight w:val="0"/>
          <w:marTop w:val="0"/>
          <w:marBottom w:val="60"/>
          <w:divBdr>
            <w:top w:val="none" w:sz="0" w:space="0" w:color="auto"/>
            <w:left w:val="none" w:sz="0" w:space="0" w:color="auto"/>
            <w:bottom w:val="none" w:sz="0" w:space="0" w:color="auto"/>
            <w:right w:val="none" w:sz="0" w:space="0" w:color="auto"/>
          </w:divBdr>
        </w:div>
        <w:div w:id="1624382109">
          <w:marLeft w:val="720"/>
          <w:marRight w:val="0"/>
          <w:marTop w:val="0"/>
          <w:marBottom w:val="60"/>
          <w:divBdr>
            <w:top w:val="none" w:sz="0" w:space="0" w:color="auto"/>
            <w:left w:val="none" w:sz="0" w:space="0" w:color="auto"/>
            <w:bottom w:val="none" w:sz="0" w:space="0" w:color="auto"/>
            <w:right w:val="none" w:sz="0" w:space="0" w:color="auto"/>
          </w:divBdr>
        </w:div>
        <w:div w:id="271937594">
          <w:marLeft w:val="1080"/>
          <w:marRight w:val="0"/>
          <w:marTop w:val="0"/>
          <w:marBottom w:val="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7305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5AIRPNAIUNRU-1830940522-2921</_dlc_DocId>
    <_dlc_DocIdUrl xmlns="71c5aaf6-e6ce-465b-b873-5148d2a4c105">
      <Url>https://nokia.sharepoint.com/sites/c5g/5gradio/_layouts/15/DocIdRedir.aspx?ID=5AIRPNAIUNRU-1830940522-2921</Url>
      <Description>5AIRPNAIUNRU-1830940522-2921</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FEC1DC53-6977-4C3A-B59D-08160AD85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1104BE-9A66-4B96-9B5D-977AA0E67ADF}">
  <ds:schemaRefs>
    <ds:schemaRef ds:uri="Microsoft.SharePoint.Taxonomy.ContentTypeSync"/>
  </ds:schemaRefs>
</ds:datastoreItem>
</file>

<file path=customXml/itemProps6.xml><?xml version="1.0" encoding="utf-8"?>
<ds:datastoreItem xmlns:ds="http://schemas.openxmlformats.org/officeDocument/2006/customXml" ds:itemID="{6C21BF9E-3553-418A-B481-350F4D49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2082</TotalTime>
  <Pages>5</Pages>
  <Words>2452</Words>
  <Characters>13979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Ye, Sigen (Nokia - US/Murray Hill)</cp:lastModifiedBy>
  <cp:revision>16</cp:revision>
  <cp:lastPrinted>2016-06-20T11:35:00Z</cp:lastPrinted>
  <dcterms:created xsi:type="dcterms:W3CDTF">2018-02-15T14:31:00Z</dcterms:created>
  <dcterms:modified xsi:type="dcterms:W3CDTF">2018-04-07T03:25:00Z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d50f2c9e-cfe7-4b38-91d8-3eac163ef3c8</vt:lpwstr>
  </property>
</Properties>
</file>